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80385" w14:textId="77777777" w:rsidR="009A3617" w:rsidRPr="00B355B0" w:rsidRDefault="009A3617" w:rsidP="009A3617">
      <w:pPr>
        <w:pStyle w:val="Overskrift1"/>
        <w:ind w:left="0"/>
        <w:jc w:val="both"/>
        <w:rPr>
          <w:color w:val="C45911" w:themeColor="accent2" w:themeShade="BF"/>
        </w:rPr>
      </w:pPr>
      <w:bookmarkStart w:id="0" w:name="_Toc104897249"/>
      <w:r w:rsidRPr="00B355B0">
        <w:rPr>
          <w:color w:val="C45911" w:themeColor="accent2" w:themeShade="BF"/>
        </w:rPr>
        <w:t>Bilag 10: Takstberegning</w:t>
      </w:r>
      <w:bookmarkEnd w:id="0"/>
    </w:p>
    <w:p w14:paraId="154BDF75" w14:textId="77777777" w:rsidR="009A3617" w:rsidRPr="00A309E6" w:rsidRDefault="009A3617" w:rsidP="009A3617">
      <w:pPr>
        <w:pStyle w:val="Brdtekst"/>
        <w:spacing w:before="10"/>
        <w:rPr>
          <w:rFonts w:ascii="Cambria"/>
          <w:sz w:val="33"/>
        </w:rPr>
      </w:pPr>
    </w:p>
    <w:p w14:paraId="1AC852B0" w14:textId="77777777" w:rsidR="009A3617" w:rsidRDefault="009A3617" w:rsidP="009A3617">
      <w:pPr>
        <w:pStyle w:val="Brdtekst"/>
      </w:pPr>
      <w:r w:rsidRPr="00A75EEB">
        <w:t xml:space="preserve">Taksterne skal være indberettet senest 15. november </w:t>
      </w:r>
      <w:r>
        <w:t>året før de træder i kraft.</w:t>
      </w:r>
      <w:r w:rsidRPr="00A75EEB">
        <w:t xml:space="preserve"> Indberetningen skal foretages i en database, som stilles til rådighed af Fælleskommunalt Socialsekretariat. Databasen vil være tilgængelig primo september, og der udsendes vejledning til indberetningen senest </w:t>
      </w:r>
      <w:r>
        <w:t xml:space="preserve">ultimo </w:t>
      </w:r>
      <w:r w:rsidRPr="00A75EEB">
        <w:t xml:space="preserve">august. Hver enkel ydelsespakke indberettes som en samlet pris/takst for pakken (dvs. både basistakst og ydelsespakke). Alternativt indberettes en basistakst samt </w:t>
      </w:r>
      <w:r>
        <w:t>é</w:t>
      </w:r>
      <w:r w:rsidRPr="00A75EEB">
        <w:t xml:space="preserve">n ydelsespakke takst særskilt, hvis det er samme </w:t>
      </w:r>
      <w:r>
        <w:t>forskel i pris mellem</w:t>
      </w:r>
      <w:r w:rsidRPr="00A75EEB">
        <w:t xml:space="preserve"> pakke</w:t>
      </w:r>
      <w:r>
        <w:t>rne</w:t>
      </w:r>
      <w:r w:rsidRPr="00A75EEB">
        <w:t>. Det skal da være tydeligt for køber, hvordan den samlede pris findes.</w:t>
      </w:r>
    </w:p>
    <w:p w14:paraId="1218F2D9" w14:textId="77777777" w:rsidR="009A3617" w:rsidRDefault="009A3617" w:rsidP="009A3617">
      <w:pPr>
        <w:pStyle w:val="Brdtekst"/>
      </w:pPr>
    </w:p>
    <w:p w14:paraId="62291831" w14:textId="77777777" w:rsidR="009A3617" w:rsidRPr="00A75EEB" w:rsidRDefault="009A3617" w:rsidP="009A3617">
      <w:pPr>
        <w:pStyle w:val="Brdtekst"/>
      </w:pPr>
      <w:r>
        <w:t>Med virkning fra 1. januar 2022 er der trådt nye regler i kraft om sundhedslovsydelser, der leveres på tilbud efter Serviceloven. (</w:t>
      </w:r>
      <w:hyperlink r:id="rId7">
        <w:r>
          <w:rPr>
            <w:rStyle w:val="Hyperlink"/>
          </w:rPr>
          <w:t>Bekendtgørelse af den 10. februar 2022</w:t>
        </w:r>
      </w:hyperlink>
      <w:r>
        <w:t>)</w:t>
      </w:r>
    </w:p>
    <w:p w14:paraId="5D91F3D4" w14:textId="77777777" w:rsidR="009A3617" w:rsidRPr="00A75EEB" w:rsidRDefault="009A3617" w:rsidP="009A3617">
      <w:pPr>
        <w:rPr>
          <w:sz w:val="21"/>
          <w:szCs w:val="21"/>
        </w:rPr>
      </w:pPr>
    </w:p>
    <w:p w14:paraId="4343F8A9" w14:textId="77777777" w:rsidR="009A3617" w:rsidRPr="00A75EEB" w:rsidRDefault="009A3617" w:rsidP="009A3617">
      <w:pPr>
        <w:pStyle w:val="Overskrift2"/>
        <w:spacing w:before="96"/>
        <w:ind w:left="0"/>
        <w:rPr>
          <w:u w:val="single"/>
        </w:rPr>
      </w:pPr>
      <w:r w:rsidRPr="00A75EEB">
        <w:rPr>
          <w:u w:val="single"/>
        </w:rPr>
        <w:t>Elementer i takstberegningen</w:t>
      </w:r>
    </w:p>
    <w:p w14:paraId="21A753C6" w14:textId="77777777" w:rsidR="009A3617" w:rsidRPr="00A75EEB" w:rsidRDefault="009A3617" w:rsidP="009A3617">
      <w:pPr>
        <w:pStyle w:val="Brdtekst"/>
        <w:spacing w:before="160"/>
      </w:pPr>
      <w:r w:rsidRPr="00A75EEB">
        <w:t>Det er de samlede omkostninger, som skal lægges til grund for takstberegningen</w:t>
      </w:r>
      <w:r>
        <w:t>.</w:t>
      </w:r>
      <w:r w:rsidRPr="00A75EEB">
        <w:t xml:space="preserve"> De kan deles op i følgende kategorier:</w:t>
      </w:r>
    </w:p>
    <w:p w14:paraId="2B458762" w14:textId="77777777" w:rsidR="009A3617" w:rsidRPr="00BD3276" w:rsidRDefault="009A3617" w:rsidP="009A3617">
      <w:pPr>
        <w:pStyle w:val="Listeafsnit"/>
        <w:numPr>
          <w:ilvl w:val="0"/>
          <w:numId w:val="5"/>
        </w:numPr>
        <w:tabs>
          <w:tab w:val="left" w:pos="1053"/>
        </w:tabs>
        <w:spacing w:before="160"/>
        <w:ind w:hanging="361"/>
        <w:rPr>
          <w:sz w:val="21"/>
          <w:szCs w:val="21"/>
        </w:rPr>
      </w:pPr>
      <w:r w:rsidRPr="00A75EEB">
        <w:rPr>
          <w:sz w:val="21"/>
          <w:szCs w:val="21"/>
        </w:rPr>
        <w:t>Lønu</w:t>
      </w:r>
      <w:bookmarkStart w:id="1" w:name="_Hlk30486745"/>
      <w:r w:rsidRPr="00A75EEB">
        <w:rPr>
          <w:sz w:val="21"/>
          <w:szCs w:val="21"/>
        </w:rPr>
        <w:t>dgifter</w:t>
      </w:r>
      <w:bookmarkEnd w:id="1"/>
    </w:p>
    <w:p w14:paraId="256773C6" w14:textId="77777777" w:rsidR="009A3617" w:rsidRPr="00A75EEB" w:rsidRDefault="009A3617" w:rsidP="009A3617">
      <w:pPr>
        <w:pStyle w:val="Listeafsnit"/>
        <w:numPr>
          <w:ilvl w:val="0"/>
          <w:numId w:val="5"/>
        </w:numPr>
        <w:tabs>
          <w:tab w:val="left" w:pos="1053"/>
        </w:tabs>
        <w:spacing w:before="160"/>
        <w:ind w:hanging="361"/>
        <w:rPr>
          <w:sz w:val="21"/>
          <w:szCs w:val="21"/>
        </w:rPr>
      </w:pPr>
      <w:r w:rsidRPr="00A75EEB">
        <w:rPr>
          <w:sz w:val="21"/>
          <w:szCs w:val="21"/>
        </w:rPr>
        <w:t>Hensættelser til tjenestemandspensioner</w:t>
      </w:r>
    </w:p>
    <w:p w14:paraId="0CD13D1D" w14:textId="77777777" w:rsidR="009A3617" w:rsidRPr="00A75EEB" w:rsidRDefault="009A3617" w:rsidP="009A3617">
      <w:pPr>
        <w:pStyle w:val="Listeafsnit"/>
        <w:numPr>
          <w:ilvl w:val="0"/>
          <w:numId w:val="5"/>
        </w:numPr>
        <w:tabs>
          <w:tab w:val="left" w:pos="1053"/>
        </w:tabs>
        <w:spacing w:before="160"/>
        <w:ind w:hanging="361"/>
        <w:rPr>
          <w:sz w:val="21"/>
          <w:szCs w:val="21"/>
        </w:rPr>
      </w:pPr>
      <w:r w:rsidRPr="00A75EEB">
        <w:rPr>
          <w:sz w:val="21"/>
          <w:szCs w:val="21"/>
        </w:rPr>
        <w:t>Øvrige aktivitetsomkostninger</w:t>
      </w:r>
    </w:p>
    <w:p w14:paraId="52222E44" w14:textId="77777777" w:rsidR="009A3617" w:rsidRDefault="009A3617" w:rsidP="009A3617">
      <w:pPr>
        <w:pStyle w:val="Listeafsnit"/>
        <w:numPr>
          <w:ilvl w:val="0"/>
          <w:numId w:val="5"/>
        </w:numPr>
        <w:tabs>
          <w:tab w:val="left" w:pos="1053"/>
        </w:tabs>
        <w:spacing w:before="121"/>
        <w:rPr>
          <w:sz w:val="21"/>
          <w:szCs w:val="21"/>
        </w:rPr>
      </w:pPr>
      <w:r w:rsidRPr="00730F9D">
        <w:rPr>
          <w:sz w:val="21"/>
          <w:szCs w:val="21"/>
        </w:rPr>
        <w:t>Øvrig administration</w:t>
      </w:r>
    </w:p>
    <w:p w14:paraId="0455D168" w14:textId="77777777" w:rsidR="009A3617" w:rsidRPr="00730F9D" w:rsidRDefault="009A3617" w:rsidP="009A3617">
      <w:pPr>
        <w:pStyle w:val="Listeafsnit"/>
        <w:numPr>
          <w:ilvl w:val="0"/>
          <w:numId w:val="5"/>
        </w:numPr>
        <w:tabs>
          <w:tab w:val="left" w:pos="1053"/>
        </w:tabs>
        <w:spacing w:before="121"/>
        <w:rPr>
          <w:sz w:val="21"/>
          <w:szCs w:val="21"/>
        </w:rPr>
      </w:pPr>
      <w:r w:rsidRPr="00730F9D">
        <w:rPr>
          <w:sz w:val="21"/>
          <w:szCs w:val="21"/>
        </w:rPr>
        <w:t>Andel af central administration/overhead.</w:t>
      </w:r>
    </w:p>
    <w:p w14:paraId="6B4F2911" w14:textId="77777777" w:rsidR="009A3617" w:rsidRPr="00A75EEB" w:rsidRDefault="009A3617" w:rsidP="009A3617">
      <w:pPr>
        <w:pStyle w:val="Listeafsnit"/>
        <w:numPr>
          <w:ilvl w:val="0"/>
          <w:numId w:val="5"/>
        </w:numPr>
        <w:tabs>
          <w:tab w:val="left" w:pos="1053"/>
        </w:tabs>
        <w:spacing w:before="121"/>
        <w:ind w:hanging="361"/>
        <w:rPr>
          <w:sz w:val="21"/>
          <w:szCs w:val="21"/>
        </w:rPr>
      </w:pPr>
      <w:r w:rsidRPr="00A75EEB">
        <w:rPr>
          <w:sz w:val="21"/>
          <w:szCs w:val="21"/>
        </w:rPr>
        <w:t>Kompetenceudvikling - uddannelse af personale, opkvalificering af tilbud</w:t>
      </w:r>
      <w:r w:rsidRPr="00A75EEB">
        <w:rPr>
          <w:spacing w:val="-8"/>
          <w:sz w:val="21"/>
          <w:szCs w:val="21"/>
        </w:rPr>
        <w:t xml:space="preserve"> </w:t>
      </w:r>
      <w:r w:rsidRPr="00A75EEB">
        <w:rPr>
          <w:sz w:val="21"/>
          <w:szCs w:val="21"/>
        </w:rPr>
        <w:t>mv.)</w:t>
      </w:r>
    </w:p>
    <w:p w14:paraId="56E76A69" w14:textId="77777777" w:rsidR="009A3617" w:rsidRPr="00A75EEB" w:rsidRDefault="009A3617" w:rsidP="009A3617">
      <w:pPr>
        <w:pStyle w:val="Listeafsnit"/>
        <w:numPr>
          <w:ilvl w:val="0"/>
          <w:numId w:val="5"/>
        </w:numPr>
        <w:tabs>
          <w:tab w:val="left" w:pos="1053"/>
        </w:tabs>
        <w:spacing w:before="118"/>
        <w:ind w:hanging="361"/>
        <w:rPr>
          <w:sz w:val="21"/>
          <w:szCs w:val="21"/>
        </w:rPr>
      </w:pPr>
      <w:r w:rsidRPr="00A75EEB">
        <w:rPr>
          <w:sz w:val="21"/>
          <w:szCs w:val="21"/>
        </w:rPr>
        <w:t>Ejendomsomkostninger</w:t>
      </w:r>
    </w:p>
    <w:p w14:paraId="06EA1417" w14:textId="77777777" w:rsidR="009A3617" w:rsidRPr="00A75EEB" w:rsidRDefault="009A3617" w:rsidP="009A3617">
      <w:pPr>
        <w:pStyle w:val="Listeafsnit"/>
        <w:numPr>
          <w:ilvl w:val="0"/>
          <w:numId w:val="5"/>
        </w:numPr>
        <w:tabs>
          <w:tab w:val="left" w:pos="1053"/>
        </w:tabs>
        <w:spacing w:before="118"/>
        <w:ind w:hanging="361"/>
        <w:rPr>
          <w:sz w:val="21"/>
          <w:szCs w:val="21"/>
        </w:rPr>
      </w:pPr>
      <w:r w:rsidRPr="00A75EEB">
        <w:rPr>
          <w:sz w:val="21"/>
          <w:szCs w:val="21"/>
        </w:rPr>
        <w:t>Kapitalomkostninger (vedligeholdelse/afskrivninger</w:t>
      </w:r>
      <w:r w:rsidRPr="00A75EEB">
        <w:rPr>
          <w:spacing w:val="-13"/>
          <w:sz w:val="21"/>
          <w:szCs w:val="21"/>
        </w:rPr>
        <w:t xml:space="preserve"> </w:t>
      </w:r>
      <w:r w:rsidRPr="00A75EEB">
        <w:rPr>
          <w:sz w:val="21"/>
          <w:szCs w:val="21"/>
        </w:rPr>
        <w:t>mv.)</w:t>
      </w:r>
    </w:p>
    <w:p w14:paraId="5D1176F1" w14:textId="77777777" w:rsidR="009A3617" w:rsidRPr="00730F9D" w:rsidRDefault="009A3617" w:rsidP="009A3617">
      <w:pPr>
        <w:pStyle w:val="Listeafsnit"/>
        <w:numPr>
          <w:ilvl w:val="0"/>
          <w:numId w:val="5"/>
        </w:numPr>
        <w:tabs>
          <w:tab w:val="left" w:pos="1053"/>
        </w:tabs>
        <w:spacing w:before="121"/>
        <w:ind w:hanging="361"/>
        <w:rPr>
          <w:sz w:val="21"/>
          <w:szCs w:val="21"/>
        </w:rPr>
      </w:pPr>
      <w:r w:rsidRPr="00A75EEB">
        <w:rPr>
          <w:sz w:val="21"/>
          <w:szCs w:val="21"/>
        </w:rPr>
        <w:t>Reguleringer i forhold til tidligere år (dækning af</w:t>
      </w:r>
      <w:r w:rsidRPr="00A75EEB">
        <w:rPr>
          <w:spacing w:val="-11"/>
          <w:sz w:val="21"/>
          <w:szCs w:val="21"/>
        </w:rPr>
        <w:t xml:space="preserve"> </w:t>
      </w:r>
      <w:r w:rsidRPr="00A75EEB">
        <w:rPr>
          <w:sz w:val="21"/>
          <w:szCs w:val="21"/>
        </w:rPr>
        <w:t>overskud/underskud)</w:t>
      </w:r>
    </w:p>
    <w:p w14:paraId="020CEB6C" w14:textId="77777777" w:rsidR="009A3617" w:rsidRPr="00A75EEB" w:rsidRDefault="009A3617" w:rsidP="009A3617">
      <w:pPr>
        <w:pStyle w:val="Brdtekst"/>
      </w:pPr>
    </w:p>
    <w:p w14:paraId="44B048FA" w14:textId="77777777" w:rsidR="009A3617" w:rsidRDefault="009A3617" w:rsidP="009A3617">
      <w:pPr>
        <w:pStyle w:val="Brdtekst"/>
        <w:spacing w:before="1"/>
      </w:pPr>
      <w:r>
        <w:t>V</w:t>
      </w:r>
      <w:r w:rsidRPr="00A75EEB">
        <w:t xml:space="preserve">ejledning til takstberegning kan findes på </w:t>
      </w:r>
      <w:hyperlink r:id="rId8">
        <w:r w:rsidRPr="00A75EEB">
          <w:t>www.socialsekretariatet.dk</w:t>
        </w:r>
      </w:hyperlink>
      <w:r>
        <w:t>.</w:t>
      </w:r>
    </w:p>
    <w:p w14:paraId="39EC883F" w14:textId="77777777" w:rsidR="009A3617" w:rsidRDefault="009A3617" w:rsidP="009A3617">
      <w:pPr>
        <w:pStyle w:val="Brdtekst"/>
        <w:spacing w:before="159"/>
      </w:pPr>
      <w:r w:rsidRPr="00A75EEB">
        <w:t>Nedenfor er anført, hvilke principper der lægges til grund for de enkelte kategorier</w:t>
      </w:r>
      <w:r>
        <w:t>.</w:t>
      </w:r>
    </w:p>
    <w:p w14:paraId="4233B92B" w14:textId="77777777" w:rsidR="009A3617" w:rsidRPr="00A75EEB" w:rsidRDefault="009A3617" w:rsidP="009A3617">
      <w:pPr>
        <w:pStyle w:val="Brdtekst"/>
        <w:spacing w:before="159"/>
        <w:rPr>
          <w:b/>
        </w:rPr>
      </w:pPr>
      <w:r w:rsidRPr="00A75EEB">
        <w:rPr>
          <w:b/>
        </w:rPr>
        <w:t>Lønudgifter</w:t>
      </w:r>
    </w:p>
    <w:p w14:paraId="5553901F" w14:textId="77777777" w:rsidR="009A3617" w:rsidRDefault="009A3617" w:rsidP="009A3617">
      <w:pPr>
        <w:pStyle w:val="Brdtekst"/>
        <w:spacing w:before="159"/>
      </w:pPr>
      <w:r w:rsidRPr="00A75EEB">
        <w:rPr>
          <w:bCs/>
        </w:rPr>
        <w:t>Her indgår lønudgifter til ledelse</w:t>
      </w:r>
      <w:r w:rsidRPr="00A75EEB">
        <w:t>, borgerrelateret</w:t>
      </w:r>
      <w:r>
        <w:t xml:space="preserve"> personale</w:t>
      </w:r>
      <w:r w:rsidRPr="00A75EEB">
        <w:t>, vikarer samt administrativt og teknisk personale</w:t>
      </w:r>
      <w:r>
        <w:t>,</w:t>
      </w:r>
      <w:r w:rsidRPr="00A75EEB">
        <w:t xml:space="preserve"> der kan henføres til pågældende tilbud/ydelse</w:t>
      </w:r>
    </w:p>
    <w:p w14:paraId="01CCC584" w14:textId="77777777" w:rsidR="009A3617" w:rsidRPr="00A75EEB" w:rsidRDefault="009A3617" w:rsidP="009A3617">
      <w:pPr>
        <w:pStyle w:val="Brdtekst"/>
        <w:spacing w:before="159"/>
      </w:pPr>
    </w:p>
    <w:p w14:paraId="27C1FAAC" w14:textId="77777777" w:rsidR="009A3617" w:rsidRPr="00A75EEB" w:rsidRDefault="009A3617" w:rsidP="009A3617">
      <w:pPr>
        <w:pStyle w:val="Overskrift2"/>
        <w:ind w:left="0"/>
      </w:pPr>
      <w:r w:rsidRPr="00A75EEB">
        <w:t>Hensættelser til tjenestemandspension</w:t>
      </w:r>
    </w:p>
    <w:p w14:paraId="57BA6849" w14:textId="77777777" w:rsidR="009A3617" w:rsidRPr="00A75EEB" w:rsidRDefault="009A3617" w:rsidP="009A3617">
      <w:pPr>
        <w:pStyle w:val="Brdtekst"/>
        <w:spacing w:before="119"/>
      </w:pPr>
      <w:r w:rsidRPr="00A75EEB">
        <w:t>For forsikrede tjenestemænd anføres forsikringspræmien, mens omkostningerne til ikke forsikrede tjenestemandspensioner fastsættes til 20,3 % af den pensionsgivende løn til den enkelte tjenestemand. Der skal korrigeres for de beløb, som allerede er indregnet i forbindelse med delingsaftalerne ved kommunalreformen.</w:t>
      </w:r>
    </w:p>
    <w:p w14:paraId="253F9429" w14:textId="77777777" w:rsidR="009A3617" w:rsidRPr="00A75EEB" w:rsidRDefault="009A3617" w:rsidP="009A3617">
      <w:pPr>
        <w:pStyle w:val="Brdtekst"/>
        <w:spacing w:before="162"/>
        <w:jc w:val="both"/>
      </w:pPr>
      <w:r w:rsidRPr="00A75EEB">
        <w:t>Pensionsforpligtigelsen skal aktuarmæssigt opgøres mindst hvert 5. år. Hensættelserne på balancen skal herefter op- eller nedskrives, så den bogførte værdi svarer til den aktuarmæssige værdi. Op- og nedskrivningerne modposteres på balancen og føres derfor ikke tilbage til taksten.</w:t>
      </w:r>
    </w:p>
    <w:p w14:paraId="1323A1FE" w14:textId="77777777" w:rsidR="009A3617" w:rsidRPr="00A75EEB" w:rsidRDefault="009A3617" w:rsidP="009A3617">
      <w:pPr>
        <w:pStyle w:val="Brdtekst"/>
        <w:spacing w:before="159"/>
      </w:pPr>
      <w:r w:rsidRPr="00A75EEB">
        <w:t xml:space="preserve">I henhold til ”Lov om tjenestemænd i folkeskolen” (den lukkede gruppe) af 17. september 1998 betaler staten udgiften til tjenestemænd ansat før 1.4.1992, og der kan derfor ikke indregnes hensættelser til tjenestemænd i de omkostningsbaserede takster på specialundervisningsområdet. For de i § 2 stk. 4 </w:t>
      </w:r>
      <w:r w:rsidRPr="00A75EEB">
        <w:lastRenderedPageBreak/>
        <w:t>nævnte undtagelser, hvor den enkelte kommune afholder udgifterne, kan disse medtages. Enten kan udgifterne medtages som de faktiske udgifter i året eller som 3 % af lønudgiften til tjenestemænd i den lukkede gruppe, som en forsikring</w:t>
      </w:r>
      <w:r>
        <w:t>s</w:t>
      </w:r>
      <w:r w:rsidRPr="00A75EEB">
        <w:t>præmie. Når der først er valgt at indregne 3 % kan man ikke efterfølgende gå tilbage og vælge de faktiske udgifter."</w:t>
      </w:r>
    </w:p>
    <w:p w14:paraId="590A507C" w14:textId="77777777" w:rsidR="009A3617" w:rsidRPr="00A75EEB" w:rsidRDefault="009A3617" w:rsidP="009A3617">
      <w:pPr>
        <w:pStyle w:val="Brdtekst"/>
        <w:spacing w:before="159"/>
        <w:ind w:left="332"/>
      </w:pPr>
    </w:p>
    <w:p w14:paraId="7BBE7C43" w14:textId="77777777" w:rsidR="009A3617" w:rsidRPr="00A75EEB" w:rsidRDefault="009A3617" w:rsidP="009A3617">
      <w:pPr>
        <w:rPr>
          <w:b/>
          <w:bCs/>
          <w:sz w:val="21"/>
          <w:szCs w:val="21"/>
        </w:rPr>
      </w:pPr>
      <w:r w:rsidRPr="00A75EEB">
        <w:rPr>
          <w:b/>
          <w:bCs/>
          <w:sz w:val="21"/>
          <w:szCs w:val="21"/>
        </w:rPr>
        <w:t>Øvrige aktivitetsomkostninger:</w:t>
      </w:r>
    </w:p>
    <w:p w14:paraId="55B200A9" w14:textId="77777777" w:rsidR="009A3617" w:rsidRPr="00A75EEB" w:rsidRDefault="009A3617" w:rsidP="009A3617">
      <w:pPr>
        <w:spacing w:before="11"/>
        <w:rPr>
          <w:sz w:val="21"/>
          <w:szCs w:val="21"/>
        </w:rPr>
      </w:pPr>
    </w:p>
    <w:p w14:paraId="28D04A02" w14:textId="77777777" w:rsidR="009A3617" w:rsidRPr="00A75EEB" w:rsidRDefault="009A3617" w:rsidP="009A3617">
      <w:pPr>
        <w:jc w:val="both"/>
        <w:rPr>
          <w:sz w:val="21"/>
          <w:szCs w:val="21"/>
        </w:rPr>
      </w:pPr>
      <w:r w:rsidRPr="00A75EEB">
        <w:rPr>
          <w:sz w:val="21"/>
          <w:szCs w:val="21"/>
        </w:rPr>
        <w:t>Her placeres fx udgifter til:</w:t>
      </w:r>
    </w:p>
    <w:p w14:paraId="59B3F6CE" w14:textId="77777777" w:rsidR="009A3617" w:rsidRPr="00A75EEB" w:rsidRDefault="009A3617" w:rsidP="009A3617">
      <w:pPr>
        <w:spacing w:before="10"/>
        <w:rPr>
          <w:sz w:val="21"/>
          <w:szCs w:val="21"/>
        </w:rPr>
      </w:pPr>
    </w:p>
    <w:p w14:paraId="681032FF" w14:textId="77777777" w:rsidR="009A3617" w:rsidRPr="00A75EEB" w:rsidRDefault="009A3617" w:rsidP="009A3617">
      <w:pPr>
        <w:numPr>
          <w:ilvl w:val="0"/>
          <w:numId w:val="6"/>
        </w:numPr>
        <w:tabs>
          <w:tab w:val="left" w:pos="873"/>
        </w:tabs>
        <w:rPr>
          <w:sz w:val="21"/>
          <w:szCs w:val="21"/>
        </w:rPr>
      </w:pPr>
      <w:r w:rsidRPr="00A75EEB">
        <w:rPr>
          <w:sz w:val="21"/>
          <w:szCs w:val="21"/>
        </w:rPr>
        <w:t>Tøj og lommepenge,</w:t>
      </w:r>
    </w:p>
    <w:p w14:paraId="50814BA2" w14:textId="77777777" w:rsidR="009A3617" w:rsidRPr="00A75EEB" w:rsidRDefault="009A3617" w:rsidP="009A3617">
      <w:pPr>
        <w:numPr>
          <w:ilvl w:val="0"/>
          <w:numId w:val="6"/>
        </w:numPr>
        <w:tabs>
          <w:tab w:val="left" w:pos="873"/>
        </w:tabs>
        <w:spacing w:before="1" w:line="267" w:lineRule="exact"/>
        <w:rPr>
          <w:sz w:val="21"/>
          <w:szCs w:val="21"/>
        </w:rPr>
      </w:pPr>
      <w:r w:rsidRPr="00A75EEB">
        <w:rPr>
          <w:sz w:val="21"/>
          <w:szCs w:val="21"/>
        </w:rPr>
        <w:t>Aktivitet, husholdning og transport</w:t>
      </w:r>
    </w:p>
    <w:p w14:paraId="0B3F6E61" w14:textId="77777777" w:rsidR="009A3617" w:rsidRPr="00A75EEB" w:rsidRDefault="009A3617" w:rsidP="009A3617">
      <w:pPr>
        <w:numPr>
          <w:ilvl w:val="0"/>
          <w:numId w:val="6"/>
        </w:numPr>
        <w:tabs>
          <w:tab w:val="left" w:pos="873"/>
        </w:tabs>
        <w:spacing w:line="267" w:lineRule="exact"/>
        <w:rPr>
          <w:sz w:val="21"/>
          <w:szCs w:val="21"/>
        </w:rPr>
      </w:pPr>
      <w:r w:rsidRPr="00A75EEB">
        <w:rPr>
          <w:sz w:val="21"/>
          <w:szCs w:val="21"/>
        </w:rPr>
        <w:t>Ekstern behandling/rådgivning af borgere.</w:t>
      </w:r>
    </w:p>
    <w:p w14:paraId="1B7A41A1" w14:textId="77777777" w:rsidR="009A3617" w:rsidRPr="00A75EEB" w:rsidRDefault="009A3617" w:rsidP="009A3617">
      <w:pPr>
        <w:numPr>
          <w:ilvl w:val="0"/>
          <w:numId w:val="6"/>
        </w:numPr>
        <w:tabs>
          <w:tab w:val="left" w:pos="873"/>
        </w:tabs>
        <w:spacing w:before="2"/>
        <w:rPr>
          <w:sz w:val="21"/>
          <w:szCs w:val="21"/>
        </w:rPr>
      </w:pPr>
      <w:r w:rsidRPr="00A75EEB">
        <w:rPr>
          <w:sz w:val="21"/>
          <w:szCs w:val="21"/>
        </w:rPr>
        <w:t>Beskæftigelse og værksteder</w:t>
      </w:r>
    </w:p>
    <w:p w14:paraId="3C346E6B" w14:textId="77777777" w:rsidR="009A3617" w:rsidRPr="00A75EEB" w:rsidRDefault="009A3617" w:rsidP="009A3617">
      <w:pPr>
        <w:spacing w:before="9"/>
        <w:rPr>
          <w:sz w:val="21"/>
          <w:szCs w:val="21"/>
        </w:rPr>
      </w:pPr>
    </w:p>
    <w:p w14:paraId="427CC9CD" w14:textId="77777777" w:rsidR="009A3617" w:rsidRPr="00A75EEB" w:rsidRDefault="009A3617" w:rsidP="009A3617">
      <w:pPr>
        <w:spacing w:before="1"/>
        <w:rPr>
          <w:sz w:val="21"/>
          <w:szCs w:val="21"/>
        </w:rPr>
      </w:pPr>
      <w:r w:rsidRPr="00A75EEB">
        <w:rPr>
          <w:sz w:val="21"/>
          <w:szCs w:val="21"/>
        </w:rPr>
        <w:t>Indtægter som følge af salg af produkter og ydelser skal normalt modregnes i omkostningerne. Hovedprincippet er, at det i beregningen skal sikres, at udgifter kun finansieres én gang, enten via takstindtægter eller andre indtægter.</w:t>
      </w:r>
    </w:p>
    <w:p w14:paraId="48568986" w14:textId="77777777" w:rsidR="009A3617" w:rsidRPr="00A75EEB" w:rsidRDefault="009A3617" w:rsidP="009A3617">
      <w:pPr>
        <w:spacing w:before="1"/>
        <w:ind w:left="152"/>
        <w:rPr>
          <w:sz w:val="21"/>
          <w:szCs w:val="21"/>
        </w:rPr>
      </w:pPr>
    </w:p>
    <w:p w14:paraId="3AE6C188" w14:textId="77777777" w:rsidR="009A3617" w:rsidRPr="00A75EEB" w:rsidRDefault="009A3617" w:rsidP="009A3617">
      <w:pPr>
        <w:spacing w:before="1"/>
        <w:rPr>
          <w:sz w:val="21"/>
          <w:szCs w:val="21"/>
        </w:rPr>
      </w:pPr>
      <w:r w:rsidRPr="00A75EEB">
        <w:rPr>
          <w:sz w:val="21"/>
          <w:szCs w:val="21"/>
        </w:rPr>
        <w:t>Beboernes betaling for kost efter servicelovens § 83.1.2 og § 85 skal også medtages her. Mens indtægterne for husleje, el og varme og kost efter § 83.1.3 ikke kan medtages her. Se bilag 11 omkring beboerbetaling.</w:t>
      </w:r>
    </w:p>
    <w:p w14:paraId="419B4ECE" w14:textId="77777777" w:rsidR="009A3617" w:rsidRPr="00A75EEB" w:rsidRDefault="009A3617" w:rsidP="009A3617">
      <w:pPr>
        <w:spacing w:before="1"/>
        <w:ind w:left="152"/>
        <w:rPr>
          <w:b/>
          <w:sz w:val="21"/>
          <w:szCs w:val="21"/>
        </w:rPr>
      </w:pPr>
    </w:p>
    <w:p w14:paraId="7E2B0ADA" w14:textId="77777777" w:rsidR="009A3617" w:rsidRPr="00A75EEB" w:rsidRDefault="009A3617" w:rsidP="009A3617">
      <w:pPr>
        <w:rPr>
          <w:b/>
          <w:bCs/>
          <w:sz w:val="21"/>
          <w:szCs w:val="21"/>
        </w:rPr>
      </w:pPr>
      <w:r>
        <w:rPr>
          <w:b/>
          <w:bCs/>
          <w:sz w:val="21"/>
          <w:szCs w:val="21"/>
        </w:rPr>
        <w:t>A</w:t>
      </w:r>
      <w:r w:rsidRPr="00A75EEB">
        <w:rPr>
          <w:b/>
          <w:bCs/>
          <w:sz w:val="21"/>
          <w:szCs w:val="21"/>
        </w:rPr>
        <w:t>dministration</w:t>
      </w:r>
      <w:r>
        <w:rPr>
          <w:b/>
          <w:bCs/>
          <w:sz w:val="21"/>
          <w:szCs w:val="21"/>
        </w:rPr>
        <w:t>somkostninger</w:t>
      </w:r>
    </w:p>
    <w:p w14:paraId="544C3B1D" w14:textId="77777777" w:rsidR="009A3617" w:rsidRPr="00A75EEB" w:rsidRDefault="009A3617" w:rsidP="009A3617">
      <w:pPr>
        <w:spacing w:before="187" w:line="324" w:lineRule="auto"/>
        <w:rPr>
          <w:sz w:val="21"/>
          <w:szCs w:val="21"/>
        </w:rPr>
      </w:pPr>
      <w:r w:rsidRPr="00A75EEB">
        <w:rPr>
          <w:sz w:val="21"/>
          <w:szCs w:val="21"/>
        </w:rPr>
        <w:t>Omkostninger til kontorhold, IT osv. medregnes under ”Administration”. Tilbuddets andel af omkostninger til centrale IT-systemer, software m.v. skal IKKE med her, da de</w:t>
      </w:r>
      <w:r>
        <w:rPr>
          <w:sz w:val="21"/>
          <w:szCs w:val="21"/>
        </w:rPr>
        <w:t>t dækkes af den fælles overhead.</w:t>
      </w:r>
    </w:p>
    <w:p w14:paraId="0B84B35C" w14:textId="77777777" w:rsidR="009A3617" w:rsidRPr="00A75EEB" w:rsidRDefault="009A3617" w:rsidP="009A3617">
      <w:pPr>
        <w:spacing w:before="187" w:line="324" w:lineRule="auto"/>
        <w:rPr>
          <w:sz w:val="21"/>
          <w:szCs w:val="21"/>
        </w:rPr>
      </w:pPr>
      <w:r w:rsidRPr="00A75EEB">
        <w:rPr>
          <w:sz w:val="21"/>
          <w:szCs w:val="21"/>
        </w:rPr>
        <w:t>De faktiske udgifter til tilsyn indregnes</w:t>
      </w:r>
      <w:r>
        <w:rPr>
          <w:sz w:val="21"/>
          <w:szCs w:val="21"/>
        </w:rPr>
        <w:t>.</w:t>
      </w:r>
    </w:p>
    <w:p w14:paraId="7CE19281" w14:textId="77777777" w:rsidR="009A3617" w:rsidRPr="00A75EEB" w:rsidRDefault="009A3617" w:rsidP="009A3617">
      <w:pPr>
        <w:spacing w:before="4"/>
        <w:rPr>
          <w:sz w:val="21"/>
          <w:szCs w:val="21"/>
        </w:rPr>
      </w:pPr>
    </w:p>
    <w:p w14:paraId="74BE6701" w14:textId="77777777" w:rsidR="009A3617" w:rsidRPr="00A75EEB" w:rsidRDefault="009A3617" w:rsidP="009A3617">
      <w:pPr>
        <w:rPr>
          <w:sz w:val="21"/>
          <w:szCs w:val="21"/>
        </w:rPr>
      </w:pPr>
      <w:r w:rsidRPr="00A75EEB">
        <w:rPr>
          <w:sz w:val="21"/>
          <w:szCs w:val="21"/>
        </w:rPr>
        <w:t xml:space="preserve">Se i øvrigt nedenstående afsnit om </w:t>
      </w:r>
      <w:r>
        <w:rPr>
          <w:sz w:val="21"/>
          <w:szCs w:val="21"/>
        </w:rPr>
        <w:t>fordeling af centrale udgifter.</w:t>
      </w:r>
    </w:p>
    <w:p w14:paraId="47829337" w14:textId="77777777" w:rsidR="009A3617" w:rsidRPr="00A75EEB" w:rsidRDefault="009A3617" w:rsidP="009A3617">
      <w:pPr>
        <w:pStyle w:val="Overskrift2"/>
        <w:ind w:left="0"/>
      </w:pPr>
    </w:p>
    <w:p w14:paraId="77567693" w14:textId="77777777" w:rsidR="009A3617" w:rsidRPr="00A75EEB" w:rsidRDefault="009A3617" w:rsidP="009A3617">
      <w:pPr>
        <w:pStyle w:val="Overskrift2"/>
        <w:ind w:left="0"/>
      </w:pPr>
      <w:r w:rsidRPr="00A75EEB">
        <w:t>Andel af central administration/overhead</w:t>
      </w:r>
    </w:p>
    <w:p w14:paraId="4B0FDE30" w14:textId="77777777" w:rsidR="009A3617" w:rsidRPr="00A75EEB" w:rsidRDefault="009A3617" w:rsidP="009A3617">
      <w:pPr>
        <w:pStyle w:val="Brdtekst"/>
        <w:spacing w:before="121"/>
        <w:jc w:val="both"/>
      </w:pPr>
      <w:r w:rsidRPr="00A75EEB">
        <w:t>Her medregnes omkostningerne til direkte og indirekte overhead. Denne post skal dække en andel af løn til rådhuspersonale, politiker</w:t>
      </w:r>
      <w:r>
        <w:t>e,</w:t>
      </w:r>
      <w:r w:rsidRPr="00A75EEB">
        <w:t xml:space="preserve"> kontorfaciliteter, kurser osv. til d</w:t>
      </w:r>
      <w:r>
        <w:t>isse</w:t>
      </w:r>
      <w:r w:rsidRPr="00A75EEB">
        <w:t xml:space="preserve"> personalegruppe</w:t>
      </w:r>
      <w:r>
        <w:t>r</w:t>
      </w:r>
      <w:r w:rsidRPr="00A75EEB">
        <w:t>.</w:t>
      </w:r>
    </w:p>
    <w:p w14:paraId="3ACBA9C9" w14:textId="77777777" w:rsidR="009A3617" w:rsidRPr="00A75EEB" w:rsidRDefault="009A3617" w:rsidP="009A3617">
      <w:pPr>
        <w:pStyle w:val="Brdtekst"/>
        <w:spacing w:before="159" w:line="400" w:lineRule="auto"/>
        <w:jc w:val="both"/>
      </w:pPr>
      <w:r w:rsidRPr="00A75EEB">
        <w:t>Overheadprocenten fastsættes af den enkelte udbyder, dog med en maksimumgrænse på 4,</w:t>
      </w:r>
      <w:r>
        <w:t xml:space="preserve">4 %. </w:t>
      </w:r>
    </w:p>
    <w:p w14:paraId="323D4F66" w14:textId="77777777" w:rsidR="009A3617" w:rsidRPr="00A75EEB" w:rsidRDefault="009A3617" w:rsidP="009A3617">
      <w:pPr>
        <w:pStyle w:val="Overskrift2"/>
        <w:spacing w:before="1"/>
        <w:ind w:left="0"/>
      </w:pPr>
    </w:p>
    <w:p w14:paraId="751BCB8D" w14:textId="77777777" w:rsidR="009A3617" w:rsidRPr="00A75EEB" w:rsidRDefault="009A3617" w:rsidP="009A3617">
      <w:pPr>
        <w:pStyle w:val="Overskrift2"/>
        <w:spacing w:before="1"/>
        <w:ind w:left="0"/>
      </w:pPr>
      <w:r w:rsidRPr="00A75EEB">
        <w:t>Udvikling (uddannelse af personale, opkvalificering af tilbud mv.)</w:t>
      </w:r>
    </w:p>
    <w:p w14:paraId="465CD5B6" w14:textId="77777777" w:rsidR="009A3617" w:rsidRPr="00A75EEB" w:rsidRDefault="009A3617" w:rsidP="009A3617">
      <w:pPr>
        <w:pStyle w:val="Brdtekst"/>
        <w:spacing w:before="118"/>
      </w:pPr>
      <w:r w:rsidRPr="00A75EEB">
        <w:t>Her er der tale om to principielt forskellige omkostninger:</w:t>
      </w:r>
    </w:p>
    <w:p w14:paraId="727F79C3" w14:textId="77777777" w:rsidR="009A3617" w:rsidRPr="00A75EEB" w:rsidRDefault="009A3617" w:rsidP="009A3617">
      <w:pPr>
        <w:pStyle w:val="Brdtekst"/>
        <w:spacing w:before="162"/>
      </w:pPr>
      <w:r w:rsidRPr="00A75EEB">
        <w:t>For det første omkostninger til kurser, efteruddannelse og kompetenceudvikling mv. samt udvikling af faglige profiler for personale ansat på tilbuddene.</w:t>
      </w:r>
    </w:p>
    <w:p w14:paraId="1F6F1518" w14:textId="77777777" w:rsidR="009A3617" w:rsidRPr="00A75EEB" w:rsidRDefault="009A3617" w:rsidP="009A3617">
      <w:pPr>
        <w:pStyle w:val="Brdtekst"/>
        <w:spacing w:before="158"/>
      </w:pPr>
      <w:r w:rsidRPr="00A75EEB">
        <w:t xml:space="preserve">For det andet omkostninger til udvikling udover almindelige kurser mv., fx midler til at frikøbe arbejdskraft på tilbuddet til gennemførelse af udviklingsprojekter. Der </w:t>
      </w:r>
      <w:r>
        <w:t xml:space="preserve">kan </w:t>
      </w:r>
      <w:r w:rsidRPr="00A75EEB">
        <w:t>afsættes 0,5 % til dette formål.</w:t>
      </w:r>
      <w:r>
        <w:t xml:space="preserve"> </w:t>
      </w:r>
      <w:r w:rsidRPr="00A75EEB">
        <w:t>Der stilles ingen krav om dokumentation.</w:t>
      </w:r>
    </w:p>
    <w:p w14:paraId="0388F8E3" w14:textId="77777777" w:rsidR="009A3617" w:rsidRPr="00A75EEB" w:rsidRDefault="009A3617" w:rsidP="009A3617">
      <w:pPr>
        <w:pStyle w:val="Brdtekst"/>
        <w:spacing w:before="158"/>
      </w:pPr>
      <w:r w:rsidRPr="00A75EEB">
        <w:t>Med henblik på større udviklingsprojekter kan disse udviklingsmidler puljes på tværs af tilbud og driftsherre inden for følgende seks målgrupper:</w:t>
      </w:r>
    </w:p>
    <w:p w14:paraId="38C0D4A9" w14:textId="77777777" w:rsidR="009A3617" w:rsidRPr="00A75EEB" w:rsidRDefault="009A3617" w:rsidP="009A3617">
      <w:pPr>
        <w:pStyle w:val="Listeafsnit"/>
        <w:numPr>
          <w:ilvl w:val="0"/>
          <w:numId w:val="2"/>
        </w:numPr>
        <w:tabs>
          <w:tab w:val="left" w:pos="1052"/>
          <w:tab w:val="left" w:pos="1053"/>
        </w:tabs>
        <w:spacing w:before="162"/>
        <w:ind w:hanging="361"/>
        <w:rPr>
          <w:sz w:val="21"/>
          <w:szCs w:val="21"/>
        </w:rPr>
      </w:pPr>
      <w:r w:rsidRPr="00A75EEB">
        <w:rPr>
          <w:sz w:val="21"/>
          <w:szCs w:val="21"/>
        </w:rPr>
        <w:t>Tilbud til psykisk og fysisk handicappede</w:t>
      </w:r>
      <w:r w:rsidRPr="00A75EEB">
        <w:rPr>
          <w:spacing w:val="-6"/>
          <w:sz w:val="21"/>
          <w:szCs w:val="21"/>
        </w:rPr>
        <w:t xml:space="preserve"> </w:t>
      </w:r>
      <w:r w:rsidRPr="00A75EEB">
        <w:rPr>
          <w:sz w:val="21"/>
          <w:szCs w:val="21"/>
        </w:rPr>
        <w:t>voksne</w:t>
      </w:r>
    </w:p>
    <w:p w14:paraId="58AB3A13" w14:textId="77777777" w:rsidR="009A3617" w:rsidRPr="00A75EEB" w:rsidRDefault="009A3617" w:rsidP="009A3617">
      <w:pPr>
        <w:pStyle w:val="Listeafsnit"/>
        <w:numPr>
          <w:ilvl w:val="0"/>
          <w:numId w:val="2"/>
        </w:numPr>
        <w:tabs>
          <w:tab w:val="left" w:pos="1052"/>
          <w:tab w:val="left" w:pos="1053"/>
        </w:tabs>
        <w:spacing w:before="117"/>
        <w:ind w:hanging="361"/>
        <w:rPr>
          <w:sz w:val="21"/>
          <w:szCs w:val="21"/>
        </w:rPr>
      </w:pPr>
      <w:r w:rsidRPr="00A75EEB">
        <w:rPr>
          <w:sz w:val="21"/>
          <w:szCs w:val="21"/>
        </w:rPr>
        <w:lastRenderedPageBreak/>
        <w:t>Tilbud til psykisk og fysisk handicappede</w:t>
      </w:r>
      <w:r w:rsidRPr="00A75EEB">
        <w:rPr>
          <w:spacing w:val="-6"/>
          <w:sz w:val="21"/>
          <w:szCs w:val="21"/>
        </w:rPr>
        <w:t xml:space="preserve"> </w:t>
      </w:r>
      <w:r w:rsidRPr="00A75EEB">
        <w:rPr>
          <w:sz w:val="21"/>
          <w:szCs w:val="21"/>
        </w:rPr>
        <w:t>børn</w:t>
      </w:r>
    </w:p>
    <w:p w14:paraId="3BDFCD35" w14:textId="77777777" w:rsidR="009A3617" w:rsidRPr="00A75EEB" w:rsidRDefault="009A3617" w:rsidP="009A3617">
      <w:pPr>
        <w:pStyle w:val="Listeafsnit"/>
        <w:numPr>
          <w:ilvl w:val="0"/>
          <w:numId w:val="2"/>
        </w:numPr>
        <w:tabs>
          <w:tab w:val="left" w:pos="1052"/>
          <w:tab w:val="left" w:pos="1053"/>
        </w:tabs>
        <w:spacing w:before="120"/>
        <w:ind w:hanging="361"/>
        <w:rPr>
          <w:sz w:val="21"/>
          <w:szCs w:val="21"/>
        </w:rPr>
      </w:pPr>
      <w:r w:rsidRPr="00A75EEB">
        <w:rPr>
          <w:sz w:val="21"/>
          <w:szCs w:val="21"/>
        </w:rPr>
        <w:t>Socialt truede børn og</w:t>
      </w:r>
      <w:r w:rsidRPr="00A75EEB">
        <w:rPr>
          <w:spacing w:val="-6"/>
          <w:sz w:val="21"/>
          <w:szCs w:val="21"/>
        </w:rPr>
        <w:t xml:space="preserve"> </w:t>
      </w:r>
      <w:r w:rsidRPr="00A75EEB">
        <w:rPr>
          <w:sz w:val="21"/>
          <w:szCs w:val="21"/>
        </w:rPr>
        <w:t>unge</w:t>
      </w:r>
    </w:p>
    <w:p w14:paraId="13D05016" w14:textId="77777777" w:rsidR="009A3617" w:rsidRPr="00A75EEB" w:rsidRDefault="009A3617" w:rsidP="009A3617">
      <w:pPr>
        <w:pStyle w:val="Listeafsnit"/>
        <w:numPr>
          <w:ilvl w:val="0"/>
          <w:numId w:val="2"/>
        </w:numPr>
        <w:tabs>
          <w:tab w:val="left" w:pos="1052"/>
          <w:tab w:val="left" w:pos="1053"/>
        </w:tabs>
        <w:spacing w:before="117"/>
        <w:ind w:hanging="361"/>
        <w:rPr>
          <w:sz w:val="21"/>
          <w:szCs w:val="21"/>
        </w:rPr>
      </w:pPr>
      <w:r w:rsidRPr="00A75EEB">
        <w:rPr>
          <w:sz w:val="21"/>
          <w:szCs w:val="21"/>
        </w:rPr>
        <w:t>Socialt</w:t>
      </w:r>
      <w:r w:rsidRPr="00A75EEB">
        <w:rPr>
          <w:spacing w:val="-2"/>
          <w:sz w:val="21"/>
          <w:szCs w:val="21"/>
        </w:rPr>
        <w:t xml:space="preserve"> </w:t>
      </w:r>
      <w:r w:rsidRPr="00A75EEB">
        <w:rPr>
          <w:sz w:val="21"/>
          <w:szCs w:val="21"/>
        </w:rPr>
        <w:t>udsatte</w:t>
      </w:r>
    </w:p>
    <w:p w14:paraId="399D09B3" w14:textId="77777777" w:rsidR="009A3617" w:rsidRPr="00A75EEB" w:rsidRDefault="009A3617" w:rsidP="009A3617">
      <w:pPr>
        <w:pStyle w:val="Listeafsnit"/>
        <w:numPr>
          <w:ilvl w:val="0"/>
          <w:numId w:val="2"/>
        </w:numPr>
        <w:tabs>
          <w:tab w:val="left" w:pos="1052"/>
          <w:tab w:val="left" w:pos="1053"/>
        </w:tabs>
        <w:spacing w:before="119"/>
        <w:ind w:hanging="361"/>
        <w:rPr>
          <w:sz w:val="21"/>
          <w:szCs w:val="21"/>
        </w:rPr>
      </w:pPr>
      <w:r w:rsidRPr="00A75EEB">
        <w:rPr>
          <w:sz w:val="21"/>
          <w:szCs w:val="21"/>
        </w:rPr>
        <w:t>Socialpsykiatriske</w:t>
      </w:r>
      <w:r w:rsidRPr="00A75EEB">
        <w:rPr>
          <w:spacing w:val="-2"/>
          <w:sz w:val="21"/>
          <w:szCs w:val="21"/>
        </w:rPr>
        <w:t xml:space="preserve"> </w:t>
      </w:r>
      <w:r w:rsidRPr="00A75EEB">
        <w:rPr>
          <w:sz w:val="21"/>
          <w:szCs w:val="21"/>
        </w:rPr>
        <w:t>tilbud</w:t>
      </w:r>
    </w:p>
    <w:p w14:paraId="5889EA39" w14:textId="77777777" w:rsidR="009A3617" w:rsidRPr="00A75EEB" w:rsidRDefault="009A3617" w:rsidP="009A3617">
      <w:pPr>
        <w:pStyle w:val="Listeafsnit"/>
        <w:numPr>
          <w:ilvl w:val="0"/>
          <w:numId w:val="2"/>
        </w:numPr>
        <w:tabs>
          <w:tab w:val="left" w:pos="1052"/>
          <w:tab w:val="left" w:pos="1053"/>
        </w:tabs>
        <w:spacing w:before="117"/>
        <w:ind w:hanging="361"/>
        <w:rPr>
          <w:sz w:val="21"/>
          <w:szCs w:val="21"/>
        </w:rPr>
      </w:pPr>
      <w:r w:rsidRPr="00A75EEB">
        <w:rPr>
          <w:sz w:val="21"/>
          <w:szCs w:val="21"/>
        </w:rPr>
        <w:t>Specialundervisning</w:t>
      </w:r>
    </w:p>
    <w:p w14:paraId="3DEB7083" w14:textId="77777777" w:rsidR="009A3617" w:rsidRPr="00A75EEB" w:rsidRDefault="009A3617" w:rsidP="009A3617">
      <w:pPr>
        <w:pStyle w:val="Overskrift2"/>
        <w:spacing w:before="1"/>
        <w:ind w:left="0"/>
      </w:pPr>
    </w:p>
    <w:p w14:paraId="0C482956" w14:textId="77777777" w:rsidR="009A3617" w:rsidRPr="00A75EEB" w:rsidRDefault="009A3617" w:rsidP="009A3617">
      <w:pPr>
        <w:pStyle w:val="Overskrift2"/>
        <w:spacing w:before="1"/>
        <w:ind w:left="0"/>
      </w:pPr>
      <w:r w:rsidRPr="00A75EEB">
        <w:t>Ejendomsudgifter</w:t>
      </w:r>
    </w:p>
    <w:p w14:paraId="47667041" w14:textId="77777777" w:rsidR="009A3617" w:rsidRPr="00A75EEB" w:rsidRDefault="009A3617" w:rsidP="009A3617">
      <w:pPr>
        <w:pStyle w:val="Brdtekst"/>
        <w:spacing w:before="121"/>
      </w:pPr>
      <w:r w:rsidRPr="00A75EEB">
        <w:t>Det har ikke været muligt at gennemføre helt ensartede principper for dette område. Det er imidlertid afgørende, at den enkelte udbyder sikrer, at der ikke sker dobbeltindregning af udgifterne.</w:t>
      </w:r>
    </w:p>
    <w:p w14:paraId="3FED474E" w14:textId="77777777" w:rsidR="009A3617" w:rsidRPr="00A75EEB" w:rsidRDefault="009A3617" w:rsidP="009A3617">
      <w:pPr>
        <w:pStyle w:val="Brdtekst"/>
        <w:spacing w:before="158"/>
      </w:pPr>
      <w:r w:rsidRPr="2BD10E02">
        <w:t>Her placeres omkostninger til normalt indvendigt vedligehold samt omkostninger til opvarmning, el, ejendomsskat, vand og forsikringer, der ikke betales af beboerne.</w:t>
      </w:r>
    </w:p>
    <w:p w14:paraId="0CD53F13" w14:textId="77777777" w:rsidR="009A3617" w:rsidRPr="00A75EEB" w:rsidRDefault="009A3617" w:rsidP="009A3617">
      <w:pPr>
        <w:pStyle w:val="Brdtekst"/>
        <w:spacing w:before="160"/>
      </w:pPr>
      <w:r w:rsidRPr="2BD10E02">
        <w:t>Derudover skal alle udgifter til bygningsvedligeholdelse over en årrække indregnes i taksterne. Dette kalkuleres efter driftsherrens regler. Ekstern husleje kan medtages. Der kan ikke medtages intern husleje, idet man skal anvende forrentning og afskrivning af bygningerne. Kommunerne kan indregne ejendomsskat i taksterne for tilbud beliggende i egen kommune.</w:t>
      </w:r>
    </w:p>
    <w:p w14:paraId="6BE1772B" w14:textId="77777777" w:rsidR="009A3617" w:rsidRPr="00A75EEB" w:rsidRDefault="009A3617" w:rsidP="009A3617">
      <w:pPr>
        <w:pStyle w:val="Brdtekst"/>
      </w:pPr>
    </w:p>
    <w:p w14:paraId="43A5A076" w14:textId="77777777" w:rsidR="009A3617" w:rsidRPr="00A75EEB" w:rsidRDefault="009A3617" w:rsidP="009A3617">
      <w:pPr>
        <w:pStyle w:val="Overskrift2"/>
        <w:ind w:left="0"/>
      </w:pPr>
      <w:r w:rsidRPr="00A75EEB">
        <w:t>Omkostninger til afskrivning og andre kapitalomkostninger</w:t>
      </w:r>
    </w:p>
    <w:p w14:paraId="4409A1D0" w14:textId="77777777" w:rsidR="009A3617" w:rsidRPr="00A75EEB" w:rsidRDefault="009A3617" w:rsidP="009A3617">
      <w:pPr>
        <w:pStyle w:val="Brdtekst"/>
        <w:spacing w:before="118"/>
      </w:pPr>
      <w:r w:rsidRPr="00A75EEB">
        <w:t>Der er tale om følgende omkostninger:</w:t>
      </w:r>
    </w:p>
    <w:p w14:paraId="40918553" w14:textId="77777777" w:rsidR="009A3617" w:rsidRPr="00A75EEB" w:rsidRDefault="009A3617" w:rsidP="009A3617">
      <w:pPr>
        <w:pStyle w:val="Listeafsnit"/>
        <w:numPr>
          <w:ilvl w:val="1"/>
          <w:numId w:val="3"/>
        </w:numPr>
        <w:tabs>
          <w:tab w:val="left" w:pos="1052"/>
          <w:tab w:val="left" w:pos="1053"/>
        </w:tabs>
        <w:spacing w:before="121"/>
        <w:ind w:hanging="361"/>
        <w:rPr>
          <w:sz w:val="21"/>
          <w:szCs w:val="21"/>
        </w:rPr>
      </w:pPr>
      <w:r>
        <w:rPr>
          <w:sz w:val="21"/>
          <w:szCs w:val="21"/>
        </w:rPr>
        <w:t>Afskrivninger</w:t>
      </w:r>
    </w:p>
    <w:p w14:paraId="29B4960C" w14:textId="77777777" w:rsidR="009A3617" w:rsidRPr="00A75EEB" w:rsidRDefault="009A3617" w:rsidP="009A3617">
      <w:pPr>
        <w:pStyle w:val="Listeafsnit"/>
        <w:numPr>
          <w:ilvl w:val="1"/>
          <w:numId w:val="3"/>
        </w:numPr>
        <w:tabs>
          <w:tab w:val="left" w:pos="1052"/>
          <w:tab w:val="left" w:pos="1053"/>
        </w:tabs>
        <w:spacing w:before="120"/>
        <w:ind w:hanging="361"/>
        <w:rPr>
          <w:sz w:val="21"/>
          <w:szCs w:val="21"/>
        </w:rPr>
      </w:pPr>
      <w:r w:rsidRPr="00A75EEB">
        <w:rPr>
          <w:sz w:val="21"/>
          <w:szCs w:val="21"/>
        </w:rPr>
        <w:t>Omkostninger til afskrivning af bygninger, inventar, busser</w:t>
      </w:r>
      <w:r w:rsidRPr="00A75EEB">
        <w:rPr>
          <w:spacing w:val="-11"/>
          <w:sz w:val="21"/>
          <w:szCs w:val="21"/>
        </w:rPr>
        <w:t xml:space="preserve"> </w:t>
      </w:r>
      <w:r w:rsidRPr="00A75EEB">
        <w:rPr>
          <w:sz w:val="21"/>
          <w:szCs w:val="21"/>
        </w:rPr>
        <w:t>osv.</w:t>
      </w:r>
    </w:p>
    <w:p w14:paraId="0FED1C7C" w14:textId="77777777" w:rsidR="009A3617" w:rsidRPr="00A75EEB" w:rsidRDefault="009A3617" w:rsidP="009A3617">
      <w:pPr>
        <w:pStyle w:val="Listeafsnit"/>
        <w:numPr>
          <w:ilvl w:val="1"/>
          <w:numId w:val="3"/>
        </w:numPr>
        <w:tabs>
          <w:tab w:val="left" w:pos="1052"/>
          <w:tab w:val="left" w:pos="1053"/>
        </w:tabs>
        <w:spacing w:before="117"/>
        <w:ind w:hanging="361"/>
        <w:rPr>
          <w:sz w:val="21"/>
          <w:szCs w:val="21"/>
        </w:rPr>
      </w:pPr>
      <w:r w:rsidRPr="00A75EEB">
        <w:rPr>
          <w:sz w:val="21"/>
          <w:szCs w:val="21"/>
        </w:rPr>
        <w:t>Andre</w:t>
      </w:r>
      <w:r w:rsidRPr="00A75EEB">
        <w:rPr>
          <w:spacing w:val="-4"/>
          <w:sz w:val="21"/>
          <w:szCs w:val="21"/>
        </w:rPr>
        <w:t xml:space="preserve"> </w:t>
      </w:r>
      <w:r>
        <w:rPr>
          <w:sz w:val="21"/>
          <w:szCs w:val="21"/>
        </w:rPr>
        <w:t>kapitalomkostninger</w:t>
      </w:r>
    </w:p>
    <w:p w14:paraId="166A7786" w14:textId="77777777" w:rsidR="009A3617" w:rsidRPr="00A75EEB" w:rsidRDefault="009A3617" w:rsidP="009A3617">
      <w:pPr>
        <w:pStyle w:val="Listeafsnit"/>
        <w:numPr>
          <w:ilvl w:val="1"/>
          <w:numId w:val="3"/>
        </w:numPr>
        <w:tabs>
          <w:tab w:val="left" w:pos="1052"/>
          <w:tab w:val="left" w:pos="1053"/>
        </w:tabs>
        <w:spacing w:before="120"/>
        <w:ind w:hanging="361"/>
        <w:rPr>
          <w:sz w:val="21"/>
          <w:szCs w:val="21"/>
        </w:rPr>
      </w:pPr>
      <w:r w:rsidRPr="00A75EEB">
        <w:rPr>
          <w:sz w:val="21"/>
          <w:szCs w:val="21"/>
        </w:rPr>
        <w:t>Forrentning af faste aktiver og andre</w:t>
      </w:r>
      <w:r w:rsidRPr="00A75EEB">
        <w:rPr>
          <w:spacing w:val="-11"/>
          <w:sz w:val="21"/>
          <w:szCs w:val="21"/>
        </w:rPr>
        <w:t xml:space="preserve"> </w:t>
      </w:r>
      <w:r>
        <w:rPr>
          <w:sz w:val="21"/>
          <w:szCs w:val="21"/>
        </w:rPr>
        <w:t>mellemværender</w:t>
      </w:r>
    </w:p>
    <w:p w14:paraId="0D78052F" w14:textId="77777777" w:rsidR="009A3617" w:rsidRPr="00A75EEB" w:rsidRDefault="009A3617" w:rsidP="009A3617">
      <w:pPr>
        <w:pStyle w:val="Brdtekst"/>
        <w:spacing w:before="160"/>
      </w:pPr>
      <w:r w:rsidRPr="00A75EEB">
        <w:t>Indregningen af afskrivningerne sker konkret ud fra de budgetterede afskrivninger i det omkostningsbaserede budget. Ejendomsværdien for det enkelte tilbud i 2004 lægges til grund for afskrivningen. Dette betyder, at taksten skal indeholde afskrivninger af aktiver, der:</w:t>
      </w:r>
    </w:p>
    <w:p w14:paraId="506B83B6" w14:textId="77777777" w:rsidR="009A3617" w:rsidRPr="00A75EEB" w:rsidRDefault="009A3617" w:rsidP="009A3617">
      <w:pPr>
        <w:pStyle w:val="Listeafsnit"/>
        <w:numPr>
          <w:ilvl w:val="1"/>
          <w:numId w:val="3"/>
        </w:numPr>
        <w:tabs>
          <w:tab w:val="left" w:pos="1052"/>
          <w:tab w:val="left" w:pos="1053"/>
        </w:tabs>
        <w:spacing w:before="121"/>
        <w:ind w:hanging="361"/>
        <w:rPr>
          <w:sz w:val="21"/>
          <w:szCs w:val="21"/>
        </w:rPr>
      </w:pPr>
      <w:r w:rsidRPr="00A75EEB">
        <w:rPr>
          <w:sz w:val="21"/>
          <w:szCs w:val="21"/>
        </w:rPr>
        <w:t>Fremgår af</w:t>
      </w:r>
      <w:r w:rsidRPr="00A75EEB">
        <w:rPr>
          <w:spacing w:val="-3"/>
          <w:sz w:val="21"/>
          <w:szCs w:val="21"/>
        </w:rPr>
        <w:t xml:space="preserve"> </w:t>
      </w:r>
      <w:r w:rsidRPr="00A75EEB">
        <w:rPr>
          <w:sz w:val="21"/>
          <w:szCs w:val="21"/>
        </w:rPr>
        <w:t>delingsaftalen</w:t>
      </w:r>
    </w:p>
    <w:p w14:paraId="47A8BA54" w14:textId="77777777" w:rsidR="009A3617" w:rsidRPr="00A75EEB" w:rsidRDefault="009A3617" w:rsidP="009A3617">
      <w:pPr>
        <w:pStyle w:val="Listeafsnit"/>
        <w:numPr>
          <w:ilvl w:val="1"/>
          <w:numId w:val="3"/>
        </w:numPr>
        <w:tabs>
          <w:tab w:val="left" w:pos="1052"/>
          <w:tab w:val="left" w:pos="1053"/>
        </w:tabs>
        <w:spacing w:before="120"/>
        <w:ind w:hanging="361"/>
        <w:rPr>
          <w:sz w:val="21"/>
          <w:szCs w:val="21"/>
        </w:rPr>
      </w:pPr>
      <w:r w:rsidRPr="00A75EEB">
        <w:rPr>
          <w:sz w:val="21"/>
          <w:szCs w:val="21"/>
        </w:rPr>
        <w:t>Er anskaffet siden opgørelsestidspunktet i</w:t>
      </w:r>
      <w:r w:rsidRPr="00A75EEB">
        <w:rPr>
          <w:spacing w:val="-8"/>
          <w:sz w:val="21"/>
          <w:szCs w:val="21"/>
        </w:rPr>
        <w:t xml:space="preserve"> </w:t>
      </w:r>
      <w:r w:rsidRPr="00A75EEB">
        <w:rPr>
          <w:sz w:val="21"/>
          <w:szCs w:val="21"/>
        </w:rPr>
        <w:t>delingsaftalen</w:t>
      </w:r>
    </w:p>
    <w:p w14:paraId="2F0100DC" w14:textId="77777777" w:rsidR="009A3617" w:rsidRPr="00A75EEB" w:rsidRDefault="009A3617" w:rsidP="009A3617">
      <w:pPr>
        <w:pStyle w:val="Listeafsnit"/>
        <w:numPr>
          <w:ilvl w:val="1"/>
          <w:numId w:val="3"/>
        </w:numPr>
        <w:tabs>
          <w:tab w:val="left" w:pos="1052"/>
          <w:tab w:val="left" w:pos="1053"/>
        </w:tabs>
        <w:spacing w:before="117"/>
        <w:ind w:hanging="361"/>
        <w:rPr>
          <w:sz w:val="21"/>
          <w:szCs w:val="21"/>
        </w:rPr>
      </w:pPr>
      <w:r w:rsidRPr="00A75EEB">
        <w:rPr>
          <w:sz w:val="21"/>
          <w:szCs w:val="21"/>
        </w:rPr>
        <w:t>Forventes anskaffet inden udgangen af år</w:t>
      </w:r>
      <w:r>
        <w:rPr>
          <w:sz w:val="21"/>
          <w:szCs w:val="21"/>
        </w:rPr>
        <w:t>et</w:t>
      </w:r>
    </w:p>
    <w:p w14:paraId="548AB151" w14:textId="77777777" w:rsidR="009A3617" w:rsidRPr="00A75EEB" w:rsidRDefault="009A3617" w:rsidP="009A3617">
      <w:pPr>
        <w:pStyle w:val="Brdtekst"/>
        <w:spacing w:before="160"/>
      </w:pPr>
      <w:r w:rsidRPr="00A75EEB">
        <w:t>For bygninger opført før 1. januar 1999 lægges ejendomsværdien for 2004 til grund for afskrivningen. For bygninger opført eller erhvervet efter 1. januar 1999 tages udgangspunkt i købsprisen. Derudover foretages regulering i tilfælde af nyinvesteringer.</w:t>
      </w:r>
    </w:p>
    <w:p w14:paraId="67C14F82" w14:textId="77777777" w:rsidR="009A3617" w:rsidRPr="00A75EEB" w:rsidRDefault="009A3617" w:rsidP="009A3617">
      <w:pPr>
        <w:pStyle w:val="Brdtekst"/>
        <w:spacing w:before="121"/>
        <w:jc w:val="both"/>
      </w:pPr>
      <w:r w:rsidRPr="00A75EEB">
        <w:t>Et aktivs aktuelle værdi beregnes ved at trække den aktuelle værdi af afskrivningerne fra den oprindelig aktiverede værdi.</w:t>
      </w:r>
    </w:p>
    <w:p w14:paraId="7E141B52" w14:textId="77777777" w:rsidR="009A3617" w:rsidRPr="00A75EEB" w:rsidRDefault="009A3617" w:rsidP="009A3617">
      <w:pPr>
        <w:pStyle w:val="Brdtekst"/>
        <w:spacing w:before="119"/>
        <w:jc w:val="both"/>
      </w:pPr>
      <w:r w:rsidRPr="00A75EEB">
        <w:t>Konkret anvendes følgende kriterier:</w:t>
      </w:r>
    </w:p>
    <w:p w14:paraId="6469049C" w14:textId="77777777" w:rsidR="009A3617" w:rsidRPr="00A75EEB" w:rsidRDefault="009A3617" w:rsidP="009A3617">
      <w:pPr>
        <w:pStyle w:val="Listeafsnit"/>
        <w:numPr>
          <w:ilvl w:val="1"/>
          <w:numId w:val="3"/>
        </w:numPr>
        <w:tabs>
          <w:tab w:val="left" w:pos="1052"/>
          <w:tab w:val="left" w:pos="1053"/>
        </w:tabs>
        <w:spacing w:before="119"/>
        <w:rPr>
          <w:sz w:val="21"/>
          <w:szCs w:val="21"/>
        </w:rPr>
      </w:pPr>
      <w:r w:rsidRPr="00A75EEB">
        <w:rPr>
          <w:sz w:val="21"/>
          <w:szCs w:val="21"/>
        </w:rPr>
        <w:t xml:space="preserve">Renten til beregning af forrentning fastlægges af den enkelte udbyder, men kan dog maksimalt være renten på et 20-årig fastforrentet </w:t>
      </w:r>
      <w:proofErr w:type="spellStart"/>
      <w:r w:rsidRPr="00A75EEB">
        <w:rPr>
          <w:sz w:val="21"/>
          <w:szCs w:val="21"/>
        </w:rPr>
        <w:t>inkonvertibelt</w:t>
      </w:r>
      <w:proofErr w:type="spellEnd"/>
      <w:r w:rsidRPr="00A75EEB">
        <w:rPr>
          <w:sz w:val="21"/>
          <w:szCs w:val="21"/>
        </w:rPr>
        <w:t xml:space="preserve"> lån i </w:t>
      </w:r>
      <w:proofErr w:type="spellStart"/>
      <w:r w:rsidRPr="00A75EEB">
        <w:rPr>
          <w:sz w:val="21"/>
          <w:szCs w:val="21"/>
        </w:rPr>
        <w:t>KommuneKredit</w:t>
      </w:r>
      <w:proofErr w:type="spellEnd"/>
      <w:r w:rsidRPr="00A75EEB">
        <w:rPr>
          <w:sz w:val="21"/>
          <w:szCs w:val="21"/>
        </w:rPr>
        <w:t xml:space="preserve"> pr. 1. april </w:t>
      </w:r>
      <w:r>
        <w:rPr>
          <w:sz w:val="21"/>
          <w:szCs w:val="21"/>
        </w:rPr>
        <w:t>året før</w:t>
      </w:r>
      <w:r w:rsidRPr="00A75EEB">
        <w:rPr>
          <w:sz w:val="21"/>
          <w:szCs w:val="21"/>
        </w:rPr>
        <w:t>.</w:t>
      </w:r>
      <w:r>
        <w:rPr>
          <w:sz w:val="21"/>
          <w:szCs w:val="21"/>
        </w:rPr>
        <w:t xml:space="preserve"> </w:t>
      </w:r>
      <w:r w:rsidRPr="00A75EEB">
        <w:rPr>
          <w:sz w:val="21"/>
          <w:szCs w:val="21"/>
        </w:rPr>
        <w:t xml:space="preserve">Renten </w:t>
      </w:r>
      <w:r>
        <w:rPr>
          <w:sz w:val="21"/>
          <w:szCs w:val="21"/>
        </w:rPr>
        <w:t xml:space="preserve">fremgår af vejledningen. </w:t>
      </w:r>
    </w:p>
    <w:p w14:paraId="2BE2BD33" w14:textId="77777777" w:rsidR="009A3617" w:rsidRPr="00A75EEB" w:rsidRDefault="009A3617" w:rsidP="009A3617">
      <w:pPr>
        <w:pStyle w:val="Listeafsnit"/>
        <w:numPr>
          <w:ilvl w:val="1"/>
          <w:numId w:val="3"/>
        </w:numPr>
        <w:tabs>
          <w:tab w:val="left" w:pos="1052"/>
          <w:tab w:val="left" w:pos="1053"/>
        </w:tabs>
        <w:spacing w:before="120"/>
        <w:rPr>
          <w:sz w:val="21"/>
          <w:szCs w:val="21"/>
        </w:rPr>
      </w:pPr>
      <w:r w:rsidRPr="00A75EEB">
        <w:rPr>
          <w:sz w:val="21"/>
          <w:szCs w:val="21"/>
        </w:rPr>
        <w:t>Beregningsgrundlag for forrentningen er aktivers eller andre mellemværenders værdi budgetåret før</w:t>
      </w:r>
      <w:r>
        <w:rPr>
          <w:sz w:val="21"/>
          <w:szCs w:val="21"/>
        </w:rPr>
        <w:t>.</w:t>
      </w:r>
      <w:r w:rsidRPr="00A75EEB">
        <w:rPr>
          <w:sz w:val="21"/>
          <w:szCs w:val="21"/>
        </w:rPr>
        <w:t xml:space="preserve"> Hertil kan tillægges værdien af nyanskaffelser i budgetåret, hvor forrentningen beregnes fra ibrugtagningstidspunktet. Hvis dette ikke gøres, indgår nyanskaffelser i beregningsgrundlaget for forrentningen i de efterfølgende</w:t>
      </w:r>
      <w:r w:rsidRPr="00A75EEB">
        <w:rPr>
          <w:spacing w:val="-2"/>
          <w:sz w:val="21"/>
          <w:szCs w:val="21"/>
        </w:rPr>
        <w:t xml:space="preserve"> </w:t>
      </w:r>
      <w:r w:rsidRPr="00A75EEB">
        <w:rPr>
          <w:sz w:val="21"/>
          <w:szCs w:val="21"/>
        </w:rPr>
        <w:t>år.</w:t>
      </w:r>
    </w:p>
    <w:p w14:paraId="34810FEA" w14:textId="77777777" w:rsidR="009A3617" w:rsidRPr="00A75EEB" w:rsidRDefault="009A3617" w:rsidP="009A3617">
      <w:pPr>
        <w:pStyle w:val="Listeafsnit"/>
        <w:numPr>
          <w:ilvl w:val="1"/>
          <w:numId w:val="3"/>
        </w:numPr>
        <w:tabs>
          <w:tab w:val="left" w:pos="1052"/>
          <w:tab w:val="left" w:pos="1053"/>
        </w:tabs>
        <w:spacing w:before="118"/>
        <w:rPr>
          <w:sz w:val="21"/>
          <w:szCs w:val="21"/>
        </w:rPr>
      </w:pPr>
      <w:r w:rsidRPr="00A75EEB">
        <w:rPr>
          <w:sz w:val="21"/>
          <w:szCs w:val="21"/>
        </w:rPr>
        <w:t xml:space="preserve">Bygninger afskrives over 30 år. For bygninger ibrugtaget før 1/1 2004, starter afskrivningsperioden den 1/1 2004. For bygninger ibrugtaget efter 1/1 2004 starter </w:t>
      </w:r>
      <w:r w:rsidRPr="00A75EEB">
        <w:rPr>
          <w:sz w:val="21"/>
          <w:szCs w:val="21"/>
        </w:rPr>
        <w:lastRenderedPageBreak/>
        <w:t>afskrivningsperioden fra</w:t>
      </w:r>
      <w:r w:rsidRPr="00A75EEB">
        <w:rPr>
          <w:spacing w:val="-5"/>
          <w:sz w:val="21"/>
          <w:szCs w:val="21"/>
        </w:rPr>
        <w:t xml:space="preserve"> </w:t>
      </w:r>
      <w:r w:rsidRPr="00A75EEB">
        <w:rPr>
          <w:sz w:val="21"/>
          <w:szCs w:val="21"/>
        </w:rPr>
        <w:t>ibrugtagningstidspunktet.</w:t>
      </w:r>
    </w:p>
    <w:p w14:paraId="564C5B4C" w14:textId="77777777" w:rsidR="009A3617" w:rsidRPr="00A75EEB" w:rsidRDefault="009A3617" w:rsidP="009A3617">
      <w:pPr>
        <w:pStyle w:val="Listeafsnit"/>
        <w:numPr>
          <w:ilvl w:val="1"/>
          <w:numId w:val="3"/>
        </w:numPr>
        <w:tabs>
          <w:tab w:val="left" w:pos="1052"/>
          <w:tab w:val="left" w:pos="1053"/>
        </w:tabs>
        <w:spacing w:before="119"/>
        <w:ind w:hanging="361"/>
        <w:rPr>
          <w:sz w:val="21"/>
          <w:szCs w:val="21"/>
        </w:rPr>
      </w:pPr>
      <w:r w:rsidRPr="00A75EEB">
        <w:rPr>
          <w:sz w:val="21"/>
          <w:szCs w:val="21"/>
        </w:rPr>
        <w:t>Grunde skal ikke afskrives, men skal forrentes med samme rente som</w:t>
      </w:r>
      <w:r w:rsidRPr="00A75EEB">
        <w:rPr>
          <w:spacing w:val="-16"/>
          <w:sz w:val="21"/>
          <w:szCs w:val="21"/>
        </w:rPr>
        <w:t xml:space="preserve"> </w:t>
      </w:r>
      <w:r w:rsidRPr="00A75EEB">
        <w:rPr>
          <w:sz w:val="21"/>
          <w:szCs w:val="21"/>
        </w:rPr>
        <w:t>ovenfor.</w:t>
      </w:r>
    </w:p>
    <w:p w14:paraId="4A5763E7" w14:textId="77777777" w:rsidR="009A3617" w:rsidRPr="00A75EEB" w:rsidRDefault="009A3617" w:rsidP="009A3617">
      <w:pPr>
        <w:pStyle w:val="Listeafsnit"/>
        <w:numPr>
          <w:ilvl w:val="1"/>
          <w:numId w:val="3"/>
        </w:numPr>
        <w:tabs>
          <w:tab w:val="left" w:pos="1052"/>
          <w:tab w:val="left" w:pos="1053"/>
        </w:tabs>
        <w:spacing w:before="117"/>
        <w:rPr>
          <w:sz w:val="21"/>
          <w:szCs w:val="21"/>
        </w:rPr>
      </w:pPr>
      <w:r w:rsidRPr="00A75EEB">
        <w:rPr>
          <w:sz w:val="21"/>
          <w:szCs w:val="21"/>
        </w:rPr>
        <w:t>Når en kommune overtager et regionalt tilbud, er det ejendomsværdien på overtagelsestidspunktet, der skal anvendes i takstberegningen og tilsvarende, hvis regionen overtager et kommunalt</w:t>
      </w:r>
      <w:r w:rsidRPr="00A75EEB">
        <w:rPr>
          <w:spacing w:val="-7"/>
          <w:sz w:val="21"/>
          <w:szCs w:val="21"/>
        </w:rPr>
        <w:t xml:space="preserve"> </w:t>
      </w:r>
      <w:r w:rsidRPr="00A75EEB">
        <w:rPr>
          <w:sz w:val="21"/>
          <w:szCs w:val="21"/>
        </w:rPr>
        <w:t>tilbud.</w:t>
      </w:r>
    </w:p>
    <w:p w14:paraId="15A060F9" w14:textId="77777777" w:rsidR="009A3617" w:rsidRPr="00A75EEB" w:rsidRDefault="009A3617" w:rsidP="009A3617">
      <w:pPr>
        <w:pStyle w:val="Listeafsnit"/>
        <w:numPr>
          <w:ilvl w:val="1"/>
          <w:numId w:val="3"/>
        </w:numPr>
        <w:tabs>
          <w:tab w:val="left" w:pos="1052"/>
          <w:tab w:val="left" w:pos="1053"/>
        </w:tabs>
        <w:spacing w:before="119"/>
        <w:rPr>
          <w:sz w:val="21"/>
          <w:szCs w:val="21"/>
        </w:rPr>
      </w:pPr>
      <w:r w:rsidRPr="00A75EEB">
        <w:rPr>
          <w:sz w:val="21"/>
          <w:szCs w:val="21"/>
        </w:rPr>
        <w:t>Andre aktiver med en anskaffelsessum over 100.000 kr., og en levetid på mere end et år afskrives efter driftsherres regler på området og forrentes med samme rente som ovenfor. Det skal sikres, at udgifter kun finansieres én gang så anskaffelser ikke både kan indregnes i driftsregnskabet og samtidig indregnes med forrentning og afskrivning i</w:t>
      </w:r>
      <w:r w:rsidRPr="00A75EEB">
        <w:rPr>
          <w:spacing w:val="-16"/>
          <w:sz w:val="21"/>
          <w:szCs w:val="21"/>
        </w:rPr>
        <w:t xml:space="preserve"> </w:t>
      </w:r>
      <w:r w:rsidRPr="00A75EEB">
        <w:rPr>
          <w:sz w:val="21"/>
          <w:szCs w:val="21"/>
        </w:rPr>
        <w:t>taksten.</w:t>
      </w:r>
    </w:p>
    <w:p w14:paraId="44B4F1F2" w14:textId="77777777" w:rsidR="009A3617" w:rsidRPr="00A75EEB" w:rsidRDefault="009A3617" w:rsidP="009A3617">
      <w:pPr>
        <w:pStyle w:val="Listeafsnit"/>
        <w:numPr>
          <w:ilvl w:val="1"/>
          <w:numId w:val="3"/>
        </w:numPr>
        <w:tabs>
          <w:tab w:val="left" w:pos="1052"/>
          <w:tab w:val="left" w:pos="1053"/>
        </w:tabs>
        <w:spacing w:before="118"/>
        <w:ind w:hanging="361"/>
        <w:rPr>
          <w:sz w:val="21"/>
          <w:szCs w:val="21"/>
        </w:rPr>
      </w:pPr>
      <w:r w:rsidRPr="00A75EEB">
        <w:rPr>
          <w:sz w:val="21"/>
          <w:szCs w:val="21"/>
        </w:rPr>
        <w:t>Byggeprojekter aktiveres efter driftsherres regler på</w:t>
      </w:r>
      <w:r w:rsidRPr="00A75EEB">
        <w:rPr>
          <w:spacing w:val="-15"/>
          <w:sz w:val="21"/>
          <w:szCs w:val="21"/>
        </w:rPr>
        <w:t xml:space="preserve"> </w:t>
      </w:r>
      <w:r w:rsidRPr="00A75EEB">
        <w:rPr>
          <w:sz w:val="21"/>
          <w:szCs w:val="21"/>
        </w:rPr>
        <w:t>området</w:t>
      </w:r>
    </w:p>
    <w:p w14:paraId="6CB2A14F" w14:textId="77777777" w:rsidR="009A3617" w:rsidRPr="00A75EEB" w:rsidRDefault="009A3617" w:rsidP="009A3617">
      <w:pPr>
        <w:pStyle w:val="Listeafsnit"/>
        <w:numPr>
          <w:ilvl w:val="1"/>
          <w:numId w:val="3"/>
        </w:numPr>
        <w:tabs>
          <w:tab w:val="left" w:pos="1052"/>
          <w:tab w:val="left" w:pos="1053"/>
        </w:tabs>
        <w:spacing w:before="119"/>
        <w:rPr>
          <w:sz w:val="21"/>
          <w:szCs w:val="21"/>
        </w:rPr>
      </w:pPr>
      <w:r w:rsidRPr="00A75EEB">
        <w:rPr>
          <w:sz w:val="21"/>
          <w:szCs w:val="21"/>
        </w:rPr>
        <w:t>For almennyttige boliger skal servicearealernes afskrivning og forrentning indgå i taksten. Afskrivning og forrentning af boligdelen finansieres via huslejebetalingen og skal derfor ikke indgå i</w:t>
      </w:r>
      <w:r w:rsidRPr="00A75EEB">
        <w:rPr>
          <w:spacing w:val="-2"/>
          <w:sz w:val="21"/>
          <w:szCs w:val="21"/>
        </w:rPr>
        <w:t xml:space="preserve"> </w:t>
      </w:r>
      <w:r w:rsidRPr="00A75EEB">
        <w:rPr>
          <w:sz w:val="21"/>
          <w:szCs w:val="21"/>
        </w:rPr>
        <w:t>taksten.</w:t>
      </w:r>
    </w:p>
    <w:p w14:paraId="1BE35015" w14:textId="77777777" w:rsidR="009A3617" w:rsidRPr="00A75EEB" w:rsidRDefault="009A3617" w:rsidP="009A3617">
      <w:pPr>
        <w:pStyle w:val="Overskrift2"/>
        <w:ind w:left="0"/>
      </w:pPr>
      <w:bookmarkStart w:id="2" w:name="_Hlk42165537"/>
    </w:p>
    <w:p w14:paraId="7A83FD2F" w14:textId="77777777" w:rsidR="009A3617" w:rsidRPr="00A75EEB" w:rsidRDefault="009A3617" w:rsidP="009A3617">
      <w:pPr>
        <w:pStyle w:val="Overskrift2"/>
        <w:ind w:left="0"/>
      </w:pPr>
      <w:r w:rsidRPr="00A75EEB">
        <w:t>Reguleringer i forhold til tidligere år</w:t>
      </w:r>
    </w:p>
    <w:p w14:paraId="3494DFD2" w14:textId="77777777" w:rsidR="009A3617" w:rsidRDefault="009A3617" w:rsidP="009A3617">
      <w:pPr>
        <w:pStyle w:val="Brdtekst"/>
        <w:spacing w:before="121"/>
      </w:pPr>
      <w:r w:rsidRPr="00A75EEB">
        <w:t xml:space="preserve">Over- og underskud opgøres på baggrund af det omkostningsbaserede </w:t>
      </w:r>
      <w:r>
        <w:t xml:space="preserve">regnskab </w:t>
      </w:r>
      <w:r w:rsidRPr="00A75EEB">
        <w:t>sammenhold</w:t>
      </w:r>
      <w:r>
        <w:t xml:space="preserve">t med den faktiske realiserede </w:t>
      </w:r>
      <w:bookmarkEnd w:id="2"/>
      <w:proofErr w:type="spellStart"/>
      <w:r>
        <w:t>takstbaserede</w:t>
      </w:r>
      <w:proofErr w:type="spellEnd"/>
      <w:r>
        <w:t xml:space="preserve"> omsætning (takstindtægterne er for både egne og andre kommuners borgere). </w:t>
      </w:r>
    </w:p>
    <w:p w14:paraId="4E5B5CEC" w14:textId="77777777" w:rsidR="009A3617" w:rsidRPr="00A75EEB" w:rsidRDefault="009A3617" w:rsidP="009A3617">
      <w:pPr>
        <w:pStyle w:val="Brdtekst"/>
        <w:spacing w:before="121"/>
      </w:pPr>
      <w:r w:rsidRPr="0040637B">
        <w:rPr>
          <w:u w:val="single"/>
        </w:rPr>
        <w:t>Hå</w:t>
      </w:r>
      <w:r w:rsidRPr="00A75EEB">
        <w:rPr>
          <w:u w:val="single"/>
        </w:rPr>
        <w:t>ndtering af eventuelt overskud</w:t>
      </w:r>
    </w:p>
    <w:p w14:paraId="22089736" w14:textId="77777777" w:rsidR="009A3617" w:rsidRPr="00A75EEB" w:rsidRDefault="009A3617" w:rsidP="009A3617">
      <w:pPr>
        <w:pStyle w:val="Brdtekst"/>
        <w:spacing w:before="160"/>
      </w:pPr>
      <w:r w:rsidRPr="00A75EEB">
        <w:t>Den del af et eventuelt overskud, der overstiger 5 pct., skal for kommunale og regionale driftsherrer indregnes i taksten i form af en reduktion af taksten senest 2 år efter det år, overskuddet vedrører.</w:t>
      </w:r>
      <w:r w:rsidRPr="00A75EEB">
        <w:rPr>
          <w:rStyle w:val="Fodnotehenvisning"/>
        </w:rPr>
        <w:footnoteReference w:id="1"/>
      </w:r>
    </w:p>
    <w:p w14:paraId="3E9DC56A" w14:textId="77777777" w:rsidR="009A3617" w:rsidRPr="00A75EEB" w:rsidRDefault="009A3617" w:rsidP="009A3617">
      <w:pPr>
        <w:pStyle w:val="Brdtekst"/>
        <w:spacing w:before="198"/>
      </w:pPr>
      <w:r w:rsidRPr="00A75EEB">
        <w:t>Overskud på op til 5 pct. kan hensættes til senere brug inden for samme ledelsesområde/ center.</w:t>
      </w:r>
    </w:p>
    <w:p w14:paraId="45AB4255" w14:textId="77777777" w:rsidR="009A3617" w:rsidRPr="00A75EEB" w:rsidRDefault="009A3617" w:rsidP="009A3617">
      <w:pPr>
        <w:pStyle w:val="Listeafsnit"/>
        <w:tabs>
          <w:tab w:val="left" w:pos="1052"/>
          <w:tab w:val="left" w:pos="1053"/>
        </w:tabs>
        <w:spacing w:before="1"/>
        <w:rPr>
          <w:sz w:val="21"/>
          <w:szCs w:val="21"/>
        </w:rPr>
      </w:pPr>
    </w:p>
    <w:p w14:paraId="561C9404" w14:textId="77777777" w:rsidR="009A3617" w:rsidRPr="00A75EEB" w:rsidRDefault="009A3617" w:rsidP="009A3617">
      <w:pPr>
        <w:pStyle w:val="Listeafsnit"/>
        <w:numPr>
          <w:ilvl w:val="0"/>
          <w:numId w:val="1"/>
        </w:numPr>
        <w:tabs>
          <w:tab w:val="left" w:pos="1052"/>
          <w:tab w:val="left" w:pos="1053"/>
        </w:tabs>
        <w:spacing w:before="1"/>
        <w:rPr>
          <w:sz w:val="21"/>
          <w:szCs w:val="21"/>
        </w:rPr>
      </w:pPr>
      <w:r w:rsidRPr="00A75EEB">
        <w:rPr>
          <w:sz w:val="21"/>
          <w:szCs w:val="21"/>
        </w:rPr>
        <w:t xml:space="preserve">Hensatte overskud skal anvendes inden for 5 år efter det år, overskuddet vedrører. Eventuelle </w:t>
      </w:r>
      <w:proofErr w:type="spellStart"/>
      <w:r w:rsidRPr="00A75EEB">
        <w:rPr>
          <w:sz w:val="21"/>
          <w:szCs w:val="21"/>
        </w:rPr>
        <w:t>uforbrugte</w:t>
      </w:r>
      <w:proofErr w:type="spellEnd"/>
      <w:r w:rsidRPr="00A75EEB">
        <w:rPr>
          <w:sz w:val="21"/>
          <w:szCs w:val="21"/>
        </w:rPr>
        <w:t xml:space="preserve"> hensatte midler efter 5 år indregnes i</w:t>
      </w:r>
      <w:r w:rsidRPr="00A75EEB">
        <w:rPr>
          <w:spacing w:val="-15"/>
          <w:sz w:val="21"/>
          <w:szCs w:val="21"/>
        </w:rPr>
        <w:t xml:space="preserve"> </w:t>
      </w:r>
      <w:r w:rsidRPr="00A75EEB">
        <w:rPr>
          <w:sz w:val="21"/>
          <w:szCs w:val="21"/>
        </w:rPr>
        <w:t>taksten.</w:t>
      </w:r>
    </w:p>
    <w:p w14:paraId="21672ED4" w14:textId="77777777" w:rsidR="009A3617" w:rsidRPr="00A75EEB" w:rsidRDefault="009A3617" w:rsidP="009A3617">
      <w:pPr>
        <w:pStyle w:val="Listeafsnit"/>
        <w:numPr>
          <w:ilvl w:val="0"/>
          <w:numId w:val="1"/>
        </w:numPr>
        <w:tabs>
          <w:tab w:val="left" w:pos="1052"/>
          <w:tab w:val="left" w:pos="1053"/>
        </w:tabs>
        <w:spacing w:before="239"/>
        <w:rPr>
          <w:sz w:val="21"/>
          <w:szCs w:val="21"/>
          <w:u w:val="single"/>
        </w:rPr>
      </w:pPr>
      <w:r w:rsidRPr="00A75EEB">
        <w:rPr>
          <w:sz w:val="21"/>
          <w:szCs w:val="21"/>
        </w:rPr>
        <w:t>Hensatte overskud kan anvendes til at dække underskud, effektivisere, kvalitetsudvikle eller lignende på rammeaftaletilbud inden for samme ledelsesområde/ center.</w:t>
      </w:r>
      <w:r w:rsidRPr="00A75EEB">
        <w:rPr>
          <w:spacing w:val="-19"/>
          <w:sz w:val="21"/>
          <w:szCs w:val="21"/>
        </w:rPr>
        <w:t xml:space="preserve"> </w:t>
      </w:r>
      <w:r w:rsidRPr="00A75EEB">
        <w:rPr>
          <w:rStyle w:val="Fodnotehenvisning"/>
          <w:spacing w:val="-19"/>
          <w:sz w:val="21"/>
          <w:szCs w:val="21"/>
        </w:rPr>
        <w:footnoteReference w:id="2"/>
      </w:r>
    </w:p>
    <w:p w14:paraId="0E7C3889" w14:textId="77777777" w:rsidR="009A3617" w:rsidRPr="00A75EEB" w:rsidRDefault="009A3617" w:rsidP="009A3617">
      <w:pPr>
        <w:pStyle w:val="Brdtekst"/>
        <w:spacing w:before="121"/>
        <w:rPr>
          <w:u w:val="single"/>
        </w:rPr>
      </w:pPr>
      <w:r w:rsidRPr="00A75EEB">
        <w:rPr>
          <w:u w:val="single"/>
        </w:rPr>
        <w:t>Håndtering af eventuelt underskud:</w:t>
      </w:r>
    </w:p>
    <w:p w14:paraId="4E91981D" w14:textId="77777777" w:rsidR="009A3617" w:rsidRPr="00A75EEB" w:rsidRDefault="009A3617" w:rsidP="009A3617">
      <w:pPr>
        <w:pStyle w:val="Brdtekst"/>
        <w:spacing w:before="1"/>
        <w:rPr>
          <w:vertAlign w:val="superscript"/>
        </w:rPr>
      </w:pPr>
      <w:r w:rsidRPr="00A75EEB">
        <w:t xml:space="preserve">Underskud på op til 5 pct. kan for kommunale og regionale driftsherrer ikke indregnes i taksten, men skal f.eks. dækkes ved effektivisering eller af tidligere overskud inden for samme ledelsesområde/ center. </w:t>
      </w:r>
      <w:r w:rsidRPr="00A75EEB">
        <w:rPr>
          <w:rStyle w:val="Fodnotehenvisning"/>
        </w:rPr>
        <w:footnoteReference w:id="3"/>
      </w:r>
    </w:p>
    <w:p w14:paraId="42858127" w14:textId="77777777" w:rsidR="009A3617" w:rsidRPr="00A75EEB" w:rsidRDefault="009A3617" w:rsidP="009A3617">
      <w:pPr>
        <w:pStyle w:val="Brdtekst"/>
        <w:spacing w:before="1"/>
        <w:ind w:left="332"/>
        <w:rPr>
          <w:vertAlign w:val="superscript"/>
        </w:rPr>
      </w:pPr>
    </w:p>
    <w:p w14:paraId="16B88F3C" w14:textId="77777777" w:rsidR="009A3617" w:rsidRPr="00A75EEB" w:rsidRDefault="009A3617" w:rsidP="009A3617">
      <w:pPr>
        <w:pStyle w:val="Brdtekst"/>
        <w:spacing w:before="1"/>
      </w:pPr>
      <w:r w:rsidRPr="00A75EEB">
        <w:t>Den del af et eventuelt underskud, der overstiger 5 pct., skal for kommunale og regionale driftsherrer indregnes i taksten i form af et tillæg senest 2 år efter det år, underskuddet vedrører.</w:t>
      </w:r>
    </w:p>
    <w:p w14:paraId="415BB103" w14:textId="77777777" w:rsidR="009A3617" w:rsidRPr="00A75EEB" w:rsidRDefault="009A3617" w:rsidP="009A3617">
      <w:pPr>
        <w:pStyle w:val="Brdtekst"/>
        <w:spacing w:before="5"/>
      </w:pPr>
    </w:p>
    <w:p w14:paraId="75A28D1D" w14:textId="77777777" w:rsidR="009A3617" w:rsidRPr="00A75EEB" w:rsidRDefault="009A3617" w:rsidP="009A3617">
      <w:pPr>
        <w:pStyle w:val="Brdtekst"/>
        <w:spacing w:before="1"/>
      </w:pPr>
      <w:r w:rsidRPr="00A75EEB">
        <w:t>I tilfælde af huslejetab i almene boliger indgår dette på lige fod med andre udgifter i tilbuddets regnskab.</w:t>
      </w:r>
    </w:p>
    <w:p w14:paraId="780C873F" w14:textId="77777777" w:rsidR="009A3617" w:rsidRPr="00A75EEB" w:rsidRDefault="009A3617" w:rsidP="009A3617">
      <w:pPr>
        <w:pStyle w:val="Brdtekst"/>
        <w:spacing w:before="4"/>
      </w:pPr>
    </w:p>
    <w:p w14:paraId="13AD6384" w14:textId="77777777" w:rsidR="009A3617" w:rsidRPr="00A75EEB" w:rsidRDefault="009A3617" w:rsidP="009A3617">
      <w:pPr>
        <w:pStyle w:val="Brdtekst"/>
      </w:pPr>
      <w:r>
        <w:t>Der findes flere modeller til beregning og håndtering af over- og underskud. På Socialsekretariatet</w:t>
      </w:r>
      <w:r w:rsidRPr="00A75EEB">
        <w:t>s</w:t>
      </w:r>
      <w:r>
        <w:t xml:space="preserve"> hjemmeside kan ses </w:t>
      </w:r>
      <w:r w:rsidRPr="00A75EEB">
        <w:t>model for håndtering af over- underskud mellem årene, jf. ovenstående.</w:t>
      </w:r>
    </w:p>
    <w:p w14:paraId="7DCF7A85" w14:textId="77777777" w:rsidR="009A3617" w:rsidRPr="00A75EEB" w:rsidRDefault="009A3617" w:rsidP="009A3617">
      <w:pPr>
        <w:pStyle w:val="Brdtekst"/>
        <w:spacing w:before="120"/>
      </w:pPr>
      <w:r w:rsidRPr="00A75EEB">
        <w:t xml:space="preserve">Såfremt der helt ekstraordinært vurderes en mere hensigtsmæssig model i forhold til håndtering af over- underskud mellem årene, vil en sådan model skulle anbefales af KKR. </w:t>
      </w:r>
    </w:p>
    <w:p w14:paraId="1B9C29AB" w14:textId="77777777" w:rsidR="009A3617" w:rsidRDefault="009A3617" w:rsidP="009A3617">
      <w:pPr>
        <w:pStyle w:val="Overskrift2"/>
        <w:ind w:left="0"/>
        <w:jc w:val="both"/>
      </w:pPr>
      <w:bookmarkStart w:id="3" w:name="_Hlk42165845"/>
    </w:p>
    <w:p w14:paraId="50F74795" w14:textId="77777777" w:rsidR="009A3617" w:rsidRPr="00A75EEB" w:rsidRDefault="009A3617" w:rsidP="009A3617">
      <w:pPr>
        <w:pStyle w:val="Overskrift2"/>
        <w:ind w:left="0"/>
        <w:jc w:val="both"/>
      </w:pPr>
      <w:r w:rsidRPr="00A75EEB">
        <w:t>Centralisering af driftsudgifter:</w:t>
      </w:r>
    </w:p>
    <w:p w14:paraId="3981FD64" w14:textId="77777777" w:rsidR="009A3617" w:rsidRPr="00A75EEB" w:rsidRDefault="009A3617" w:rsidP="009A3617">
      <w:pPr>
        <w:pStyle w:val="Brdtekst"/>
        <w:spacing w:before="119"/>
        <w:jc w:val="both"/>
      </w:pPr>
      <w:r w:rsidRPr="00A75EEB">
        <w:t>Udgifter, som bogføres centralt, men som vedrører driften, kan håndteres på flere måder:</w:t>
      </w:r>
    </w:p>
    <w:p w14:paraId="4AE2AC23" w14:textId="77777777" w:rsidR="009A3617" w:rsidRPr="00A75EEB" w:rsidRDefault="009A3617" w:rsidP="009A3617">
      <w:pPr>
        <w:pStyle w:val="Listeafsnit"/>
        <w:numPr>
          <w:ilvl w:val="1"/>
          <w:numId w:val="4"/>
        </w:numPr>
        <w:tabs>
          <w:tab w:val="left" w:pos="1053"/>
        </w:tabs>
        <w:spacing w:before="162"/>
        <w:ind w:left="512"/>
        <w:rPr>
          <w:sz w:val="21"/>
          <w:szCs w:val="21"/>
        </w:rPr>
      </w:pPr>
      <w:r w:rsidRPr="00A75EEB">
        <w:rPr>
          <w:sz w:val="21"/>
          <w:szCs w:val="21"/>
        </w:rPr>
        <w:t>Der kan laves en abonnementsordning, hvor der betales et abonnement for levering ydelserne. Ved en abonnementsordning skal det sikres, at den inden for kortere årrække hverken giver over- eller underskud. Endvidere skal sikres sammenhæng mellem udgifterne til abonnement og de faktiske leverede</w:t>
      </w:r>
      <w:r w:rsidRPr="00A75EEB">
        <w:rPr>
          <w:spacing w:val="-5"/>
          <w:sz w:val="21"/>
          <w:szCs w:val="21"/>
        </w:rPr>
        <w:t xml:space="preserve"> </w:t>
      </w:r>
      <w:r w:rsidRPr="00A75EEB">
        <w:rPr>
          <w:sz w:val="21"/>
          <w:szCs w:val="21"/>
        </w:rPr>
        <w:t>ydelser.</w:t>
      </w:r>
    </w:p>
    <w:p w14:paraId="74F28724" w14:textId="77777777" w:rsidR="009A3617" w:rsidRPr="00A75EEB" w:rsidRDefault="009A3617" w:rsidP="009A3617">
      <w:pPr>
        <w:pStyle w:val="Listeafsnit"/>
        <w:numPr>
          <w:ilvl w:val="1"/>
          <w:numId w:val="4"/>
        </w:numPr>
        <w:tabs>
          <w:tab w:val="left" w:pos="1053"/>
        </w:tabs>
        <w:ind w:left="512"/>
        <w:rPr>
          <w:sz w:val="21"/>
          <w:szCs w:val="21"/>
        </w:rPr>
      </w:pPr>
      <w:r w:rsidRPr="00A75EEB">
        <w:rPr>
          <w:sz w:val="21"/>
          <w:szCs w:val="21"/>
        </w:rPr>
        <w:t>Der oprettes en central kontoplan som muliggør, at udgifterne kan bogføres ud på de enkelte tilbud. Der er således tale om at lave en central kontoplan, der matcher kontoplanen for institutionsniveauet med de arter, der er relevant for områder, der er centraliseret. De udgifter, der bogføres ud på det enkelte sted, skal enten direkte kunne henføres til stedet eller henføres til en fordelingsnøgle, som sikrer sammenhæng mellem de bogførte udgifter og de faktisk leverede</w:t>
      </w:r>
      <w:r w:rsidRPr="00A75EEB">
        <w:rPr>
          <w:spacing w:val="-2"/>
          <w:sz w:val="21"/>
          <w:szCs w:val="21"/>
        </w:rPr>
        <w:t xml:space="preserve"> </w:t>
      </w:r>
      <w:r w:rsidRPr="00A75EEB">
        <w:rPr>
          <w:sz w:val="21"/>
          <w:szCs w:val="21"/>
        </w:rPr>
        <w:t>ydelser.</w:t>
      </w:r>
    </w:p>
    <w:p w14:paraId="17375469" w14:textId="77777777" w:rsidR="009A3617" w:rsidRPr="00A75EEB" w:rsidRDefault="009A3617" w:rsidP="009A3617">
      <w:pPr>
        <w:pStyle w:val="Brdtekst"/>
        <w:ind w:left="512"/>
        <w:jc w:val="both"/>
      </w:pPr>
      <w:r w:rsidRPr="00A75EEB">
        <w:t>Udgifter der kan håndteres på ovennævnte måder, at er nok især udgifter til forbrugsafgifter, IT, telefoni og vedligeholdelse mv. I forhold til centralisering af administration kan en tredje metode an</w:t>
      </w:r>
      <w:r>
        <w:t>vendes.</w:t>
      </w:r>
    </w:p>
    <w:p w14:paraId="40ADFC03" w14:textId="77777777" w:rsidR="009A3617" w:rsidRDefault="009A3617" w:rsidP="009A3617">
      <w:pPr>
        <w:pStyle w:val="Listeafsnit"/>
        <w:numPr>
          <w:ilvl w:val="1"/>
          <w:numId w:val="4"/>
        </w:numPr>
        <w:tabs>
          <w:tab w:val="left" w:pos="1053"/>
        </w:tabs>
        <w:spacing w:before="96"/>
        <w:ind w:left="512"/>
        <w:rPr>
          <w:sz w:val="21"/>
          <w:szCs w:val="21"/>
        </w:rPr>
      </w:pPr>
      <w:r w:rsidRPr="00A75EEB">
        <w:rPr>
          <w:sz w:val="21"/>
          <w:szCs w:val="21"/>
        </w:rPr>
        <w:t>Udgifterne til den administration, som er direkte relateret til driften, konteres på konto 5. Denne administration fastlægges som udgangspunkt, som de opgaver, der tidligere har været placeret på tilbuddet. Udgifterne til løsning af disse opgaver har således tidligere været en del af tilbuddenes driftsomkostninger og derfor ikke har været en del af</w:t>
      </w:r>
      <w:r w:rsidRPr="00A75EEB">
        <w:rPr>
          <w:spacing w:val="-17"/>
          <w:sz w:val="21"/>
          <w:szCs w:val="21"/>
        </w:rPr>
        <w:t xml:space="preserve"> </w:t>
      </w:r>
      <w:r w:rsidRPr="00A75EEB">
        <w:rPr>
          <w:sz w:val="21"/>
          <w:szCs w:val="21"/>
        </w:rPr>
        <w:t>overhead.</w:t>
      </w:r>
    </w:p>
    <w:p w14:paraId="6DA9DDF2" w14:textId="77777777" w:rsidR="009A3617" w:rsidRPr="0053455B" w:rsidRDefault="009A3617" w:rsidP="009A3617">
      <w:pPr>
        <w:tabs>
          <w:tab w:val="left" w:pos="1053"/>
        </w:tabs>
        <w:spacing w:before="96"/>
        <w:ind w:left="152"/>
        <w:rPr>
          <w:sz w:val="21"/>
          <w:szCs w:val="21"/>
        </w:rPr>
      </w:pPr>
    </w:p>
    <w:p w14:paraId="28B48B78" w14:textId="77777777" w:rsidR="009A3617" w:rsidRPr="00A75EEB" w:rsidRDefault="009A3617" w:rsidP="009A3617">
      <w:pPr>
        <w:pStyle w:val="Brdtekst"/>
        <w:ind w:left="512"/>
      </w:pPr>
      <w:r w:rsidRPr="00A75EEB">
        <w:t>Udgifterne kan til brug for takstberegningen, fordeles ud på tilbud i forhold til en fordelingsnøgle, som sikrer sammenhæng mellem ydelserne og de omkostninger, der indregnes i taksterne på de enkelte steder. Fordelingen kan f.eks. ske på baggrund af pladsantal, budgetstørrelse, tidsregistrering eller lignende.</w:t>
      </w:r>
    </w:p>
    <w:p w14:paraId="31574C7E" w14:textId="77777777" w:rsidR="009A3617" w:rsidRPr="00A75EEB" w:rsidRDefault="009A3617" w:rsidP="009A3617">
      <w:pPr>
        <w:pStyle w:val="Brdtekst"/>
        <w:spacing w:before="159"/>
        <w:ind w:left="512"/>
        <w:jc w:val="both"/>
      </w:pPr>
      <w:r w:rsidRPr="00A75EEB">
        <w:t>I forhold til medarbejdere, der laver både ”central” og ”decentral” administration skal der ske en fordeling af udgifterne mellem de to områder på baggrund af en kvalificeret vurdering, der igen sammenhæng mellem omkostninger og ydelser.</w:t>
      </w:r>
    </w:p>
    <w:p w14:paraId="7D1E45B4" w14:textId="77777777" w:rsidR="009A3617" w:rsidRPr="00A75EEB" w:rsidRDefault="009A3617" w:rsidP="009A3617">
      <w:pPr>
        <w:pStyle w:val="Overskrift2"/>
        <w:ind w:left="0"/>
        <w:jc w:val="both"/>
      </w:pPr>
    </w:p>
    <w:p w14:paraId="0D64F29F" w14:textId="77777777" w:rsidR="009A3617" w:rsidRPr="00A75EEB" w:rsidRDefault="009A3617" w:rsidP="009A3617">
      <w:pPr>
        <w:pStyle w:val="Overskrift2"/>
        <w:ind w:left="0"/>
        <w:jc w:val="both"/>
      </w:pPr>
      <w:r w:rsidRPr="00A75EEB">
        <w:t>Belægningsprocent</w:t>
      </w:r>
    </w:p>
    <w:p w14:paraId="74BC6459" w14:textId="77777777" w:rsidR="009A3617" w:rsidRPr="00A75EEB" w:rsidRDefault="009A3617" w:rsidP="009A3617">
      <w:pPr>
        <w:pStyle w:val="Brdtekst"/>
        <w:spacing w:before="119"/>
      </w:pPr>
      <w:r w:rsidRPr="00A75EEB">
        <w:t>Belægningsprocenten fastsættes på baggrund af den forventede aktivitet i tilbuddet.</w:t>
      </w:r>
    </w:p>
    <w:p w14:paraId="7A629913" w14:textId="77777777" w:rsidR="009A3617" w:rsidRPr="0054230F" w:rsidRDefault="009A3617" w:rsidP="009A3617">
      <w:pPr>
        <w:pStyle w:val="Brdtekst"/>
        <w:spacing w:before="162"/>
      </w:pPr>
      <w:r w:rsidRPr="00A75EEB">
        <w:t xml:space="preserve">Der kan ved fastlæggelse af belægningsprocenten tages et gennemsnit af de sidste to års belægningsprocenter suppleret med en konkret vurdering. Afviges der væsentlig fra dette, begrundes afvigelsen. Belægningsprocenterne bør maksimalt være 100 %, idet permanent overbelægning bør medføre korrektion </w:t>
      </w:r>
      <w:r>
        <w:t>af det normerede antal pladser.</w:t>
      </w:r>
    </w:p>
    <w:p w14:paraId="339759BA" w14:textId="77777777" w:rsidR="009A3617" w:rsidRPr="00184312" w:rsidRDefault="009A3617" w:rsidP="009A3617">
      <w:pPr>
        <w:pStyle w:val="Brdtekst"/>
        <w:spacing w:before="161"/>
        <w:rPr>
          <w:b/>
        </w:rPr>
      </w:pPr>
      <w:r w:rsidRPr="00184312">
        <w:rPr>
          <w:b/>
        </w:rPr>
        <w:t>Takstberegning på specialundervisningstilbud</w:t>
      </w:r>
    </w:p>
    <w:p w14:paraId="5059F6BB" w14:textId="77777777" w:rsidR="009A3617" w:rsidRDefault="009A3617" w:rsidP="009A3617">
      <w:pPr>
        <w:pStyle w:val="Brdtekst"/>
        <w:spacing w:before="161"/>
      </w:pPr>
      <w:r>
        <w:t>På specialundervisningstilbud, hvor eleverne som hovedregel indskrives for et år ad gangen, og hvor eleverne ikke er anbragt uden for hjemmet eller elevens specialundervisningstilbud ikke har sammenhæng med anbringelsesstedet, beregnes taksten for henholdsvis undervisningstilbuddet og døgntilbuddet på grundlag af 11 måneder (334/335 dage i året). Skoleåret starter den 1. august og slutter den 30. juni. Juli er betalingsfri.</w:t>
      </w:r>
    </w:p>
    <w:p w14:paraId="265B4CAF" w14:textId="77777777" w:rsidR="009A3617" w:rsidRPr="00A75EEB" w:rsidRDefault="009A3617" w:rsidP="009A3617">
      <w:pPr>
        <w:pStyle w:val="Brdtekst"/>
        <w:spacing w:before="161"/>
      </w:pPr>
      <w:r>
        <w:t>På tilbud for børn og unge med sociale problemer, SEL § 66, hvor specialundervisningstilbuddet har sammenhæng med anbringelsesstedet, eksempelvis en intern skole, men hvor de unge får ophold på et hvilket som helst tidspunkt af året, følges de almindelige takstberegningsregler for såvel undervisningstilbuddet som døgntilbuddet. Taksten beregnes pr. døgn/dag på grundlag af 365/366 dage i året</w:t>
      </w:r>
      <w:r w:rsidRPr="00A75EEB">
        <w:t>.</w:t>
      </w:r>
      <w:r w:rsidRPr="00A75EEB">
        <w:rPr>
          <w:rStyle w:val="Fodnotehenvisning"/>
        </w:rPr>
        <w:footnoteReference w:id="4"/>
      </w:r>
    </w:p>
    <w:p w14:paraId="1799ACDE" w14:textId="77777777" w:rsidR="009A3617" w:rsidRPr="00A75EEB" w:rsidRDefault="009A3617" w:rsidP="009A3617">
      <w:pPr>
        <w:pStyle w:val="Brdtekst"/>
        <w:spacing w:before="4"/>
      </w:pPr>
    </w:p>
    <w:p w14:paraId="7D898B93" w14:textId="77777777" w:rsidR="009A3617" w:rsidRPr="00A75EEB" w:rsidRDefault="009A3617" w:rsidP="009A3617">
      <w:pPr>
        <w:pStyle w:val="Overskrift2"/>
        <w:spacing w:before="1"/>
        <w:ind w:left="0"/>
      </w:pPr>
      <w:r w:rsidRPr="00A75EEB">
        <w:lastRenderedPageBreak/>
        <w:t>Indtægtsdækket virksomhed</w:t>
      </w:r>
    </w:p>
    <w:p w14:paraId="20BC78D2" w14:textId="77777777" w:rsidR="009A3617" w:rsidRPr="00A75EEB" w:rsidRDefault="009A3617" w:rsidP="009A3617">
      <w:pPr>
        <w:pStyle w:val="Brdtekst"/>
        <w:spacing w:before="118"/>
      </w:pPr>
      <w:r w:rsidRPr="00A75EEB">
        <w:t>Indtægtsdækket virksomhed, som fx. ydelser, der leveres til enkeltmandsprojekter, VISO, konsulentydelser og projekter mv., skal ikke indgå i takstberegningsgrundlaget, da ydelserne ikke skal finansieres via taksterne. Der bør i betalingen for ydelser indregnes andel af udgifter</w:t>
      </w:r>
      <w:r>
        <w:t xml:space="preserve"> til</w:t>
      </w:r>
      <w:r w:rsidRPr="00A75EEB">
        <w:t xml:space="preserve"> ledelse, administration, bygninger mv.</w:t>
      </w:r>
    </w:p>
    <w:p w14:paraId="7973D1D9" w14:textId="77777777" w:rsidR="009A3617" w:rsidRPr="00A75EEB" w:rsidRDefault="009A3617" w:rsidP="009A3617">
      <w:pPr>
        <w:pStyle w:val="Brdtekst"/>
      </w:pPr>
    </w:p>
    <w:p w14:paraId="6B466F8F" w14:textId="77777777" w:rsidR="009A3617" w:rsidRPr="00A75EEB" w:rsidRDefault="009A3617" w:rsidP="009A3617">
      <w:pPr>
        <w:pStyle w:val="Overskrift2"/>
        <w:ind w:left="0"/>
      </w:pPr>
      <w:r w:rsidRPr="00A75EEB">
        <w:t>Finansiering af befordring til og fra dagtilbud og specialundervisningstilbud</w:t>
      </w:r>
    </w:p>
    <w:p w14:paraId="0832B95D" w14:textId="77777777" w:rsidR="009A3617" w:rsidRPr="00A75EEB" w:rsidRDefault="009A3617" w:rsidP="009A3617">
      <w:pPr>
        <w:pStyle w:val="Brdtekst"/>
        <w:spacing w:before="119"/>
      </w:pPr>
      <w:r w:rsidRPr="00A75EEB">
        <w:t>Taksten skal som udgangspunkt indeholde alle delydelser i ”tilbudspakken”, dog undtaget befordring, jf. BEK 483 af 19. maj 2011. Disse udgifter skal afholdes af den enkelte betalingskommune. Det er op til den enkelte udbyder og handlekommunerne at aftale kørselsordninger, herunder om udbyder etablerer fælles kørselsordninger samt hvordan den enkelte kørselsordning konkret beregnes, hvordan aftalen kan opsiges m.v. Det afgørende er, at befordringsudgiften afholdes særskilt for hver enkelt borger, samt at handlekommunerne for hver enkelt borger tager stilling til, om man ønsker at indgå i kørselsordninger eller selv ønsker at varetage kørslen. Reglen gælder for såvel tilbud efter serviceloven som for</w:t>
      </w:r>
      <w:r w:rsidRPr="00A75EEB">
        <w:rPr>
          <w:spacing w:val="-2"/>
        </w:rPr>
        <w:t xml:space="preserve"> </w:t>
      </w:r>
      <w:r w:rsidRPr="00A75EEB">
        <w:t>specialundervisningstilbud.</w:t>
      </w:r>
    </w:p>
    <w:p w14:paraId="1CFDD45E" w14:textId="77777777" w:rsidR="009A3617" w:rsidRPr="00A75EEB" w:rsidRDefault="009A3617" w:rsidP="009A3617">
      <w:pPr>
        <w:pStyle w:val="Brdtekst"/>
        <w:spacing w:before="120"/>
      </w:pPr>
      <w:r w:rsidRPr="00A75EEB">
        <w:t>Hvis driftsherren selv varetager hele det administrative arbejde i forbindelse med en kørselsordning, kan der beregnes overhead op til den maksimale generelle overheadprocent. Hvis leverandøren af kørselsordningen helt eller delvist administrerer kørselsordningen, skal overheaden reduceres tilsvarende. Det er en forudsætning, at udgiften til administration af kørsel kun afholdes én gang og maksimalt med den generelle overheadprocent.</w:t>
      </w:r>
    </w:p>
    <w:p w14:paraId="50C8DABC" w14:textId="77777777" w:rsidR="009A3617" w:rsidRPr="00A75EEB" w:rsidRDefault="009A3617" w:rsidP="009A3617">
      <w:pPr>
        <w:pStyle w:val="Brdtekst"/>
        <w:spacing w:before="120"/>
      </w:pPr>
      <w:r w:rsidRPr="00A75EEB">
        <w:t>Driftsherren fremsender en afregning for kørslen sammen med den øvrige afregning.</w:t>
      </w:r>
    </w:p>
    <w:p w14:paraId="447C4E2A" w14:textId="77777777" w:rsidR="009A3617" w:rsidRPr="00A75EEB" w:rsidRDefault="009A3617" w:rsidP="009A3617">
      <w:pPr>
        <w:pStyle w:val="Brdtekst"/>
      </w:pPr>
    </w:p>
    <w:p w14:paraId="6FCF825D" w14:textId="77777777" w:rsidR="009A3617" w:rsidRPr="00A75EEB" w:rsidRDefault="009A3617" w:rsidP="009A3617">
      <w:pPr>
        <w:pStyle w:val="Overskrift2"/>
        <w:ind w:left="0"/>
      </w:pPr>
      <w:r w:rsidRPr="00A75EEB">
        <w:t xml:space="preserve">Objektiv </w:t>
      </w:r>
      <w:r w:rsidRPr="00EB77CA">
        <w:t>finansiering</w:t>
      </w:r>
      <w:r w:rsidRPr="00A75EEB">
        <w:t xml:space="preserve"> af særlige tilbud</w:t>
      </w:r>
    </w:p>
    <w:p w14:paraId="06C91337" w14:textId="77777777" w:rsidR="009A3617" w:rsidRPr="00A75EEB" w:rsidRDefault="009A3617" w:rsidP="009A3617">
      <w:pPr>
        <w:pStyle w:val="Brdtekst"/>
        <w:spacing w:before="119"/>
      </w:pPr>
      <w:r w:rsidRPr="00A75EEB">
        <w:t xml:space="preserve">Der er objektiv finansiering af enkelte lands- og landsdelsdækkende tilbud i Syddanmark. Det drejer sig om den sikrede institution </w:t>
      </w:r>
      <w:proofErr w:type="spellStart"/>
      <w:r w:rsidRPr="00A75EEB">
        <w:t>Egely</w:t>
      </w:r>
      <w:proofErr w:type="spellEnd"/>
      <w:r w:rsidRPr="00A75EEB">
        <w:t xml:space="preserve"> i Middelfart samt specialskolen, Center for Høretab. Der henvises til Bekendtgørelse om rammeaftaler og udgifter ved de lands- og landsdelsdækkende undervisningstilbud m.v. af den 24. juni 2014. samt bekendtgørelse nr. 1438 af 16. december 2017 om voksenansvar over for anbragte børn og unge.</w:t>
      </w:r>
    </w:p>
    <w:bookmarkEnd w:id="3"/>
    <w:p w14:paraId="6AF2C7F8" w14:textId="77777777" w:rsidR="009A3617" w:rsidRDefault="009A3617" w:rsidP="009A3617">
      <w:pPr>
        <w:pStyle w:val="Brdtekst"/>
        <w:rPr>
          <w:sz w:val="24"/>
        </w:rPr>
      </w:pPr>
    </w:p>
    <w:p w14:paraId="3F6ED798" w14:textId="371B9A7F" w:rsidR="000D5A9B" w:rsidRPr="009A3617" w:rsidRDefault="000D5A9B">
      <w:pPr>
        <w:rPr>
          <w:rFonts w:ascii="Cambria" w:eastAsia="Cambria" w:hAnsi="Cambria" w:cs="Cambria"/>
          <w:sz w:val="36"/>
          <w:szCs w:val="36"/>
        </w:rPr>
      </w:pPr>
    </w:p>
    <w:sectPr w:rsidR="000D5A9B" w:rsidRPr="009A361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019FC" w14:textId="77777777" w:rsidR="009A3617" w:rsidRDefault="009A3617" w:rsidP="009A3617">
      <w:r>
        <w:separator/>
      </w:r>
    </w:p>
  </w:endnote>
  <w:endnote w:type="continuationSeparator" w:id="0">
    <w:p w14:paraId="411B7303" w14:textId="77777777" w:rsidR="009A3617" w:rsidRDefault="009A3617" w:rsidP="009A3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5ADE0" w14:textId="77777777" w:rsidR="009A3617" w:rsidRDefault="009A3617" w:rsidP="009A3617">
      <w:r>
        <w:separator/>
      </w:r>
    </w:p>
  </w:footnote>
  <w:footnote w:type="continuationSeparator" w:id="0">
    <w:p w14:paraId="25CC8BD9" w14:textId="77777777" w:rsidR="009A3617" w:rsidRDefault="009A3617" w:rsidP="009A3617">
      <w:r>
        <w:continuationSeparator/>
      </w:r>
    </w:p>
  </w:footnote>
  <w:footnote w:id="1">
    <w:p w14:paraId="1C16E1F2" w14:textId="77777777" w:rsidR="009A3617" w:rsidRPr="007451E2" w:rsidRDefault="009A3617" w:rsidP="009A3617">
      <w:pPr>
        <w:pStyle w:val="Fodnotetekst"/>
      </w:pPr>
      <w:r>
        <w:rPr>
          <w:rStyle w:val="Fodnotehenvisning"/>
        </w:rPr>
        <w:footnoteRef/>
      </w:r>
      <w:r w:rsidRPr="007451E2">
        <w:t xml:space="preserve"> </w:t>
      </w:r>
      <w:r w:rsidRPr="00A309E6">
        <w:rPr>
          <w:rFonts w:ascii="Times New Roman" w:hAnsi="Times New Roman"/>
        </w:rPr>
        <w:t>Der er udarbejdet et vejledende fortolkningsbidrag vedrørende regulering af takster ”Efterregulering af over- eller underskud</w:t>
      </w:r>
      <w:r w:rsidRPr="00A309E6">
        <w:rPr>
          <w:rFonts w:ascii="Times New Roman" w:hAnsi="Times New Roman"/>
          <w:spacing w:val="-3"/>
        </w:rPr>
        <w:t xml:space="preserve"> </w:t>
      </w:r>
      <w:r w:rsidRPr="00A309E6">
        <w:rPr>
          <w:rFonts w:ascii="Times New Roman" w:hAnsi="Times New Roman"/>
        </w:rPr>
        <w:t>i</w:t>
      </w:r>
      <w:r w:rsidRPr="00A309E6">
        <w:rPr>
          <w:rFonts w:ascii="Times New Roman" w:hAnsi="Times New Roman"/>
          <w:spacing w:val="-3"/>
        </w:rPr>
        <w:t xml:space="preserve"> </w:t>
      </w:r>
      <w:r w:rsidRPr="00A309E6">
        <w:rPr>
          <w:rFonts w:ascii="Times New Roman" w:hAnsi="Times New Roman"/>
        </w:rPr>
        <w:t>taksterne,</w:t>
      </w:r>
      <w:r w:rsidRPr="00A309E6">
        <w:rPr>
          <w:rFonts w:ascii="Times New Roman" w:hAnsi="Times New Roman"/>
          <w:spacing w:val="-2"/>
        </w:rPr>
        <w:t xml:space="preserve"> </w:t>
      </w:r>
      <w:r w:rsidRPr="00A309E6">
        <w:rPr>
          <w:rFonts w:ascii="Times New Roman" w:hAnsi="Times New Roman"/>
        </w:rPr>
        <w:t>se</w:t>
      </w:r>
      <w:r w:rsidRPr="00A309E6">
        <w:rPr>
          <w:rFonts w:ascii="Times New Roman" w:hAnsi="Times New Roman"/>
          <w:spacing w:val="-4"/>
        </w:rPr>
        <w:t xml:space="preserve"> </w:t>
      </w:r>
      <w:r w:rsidRPr="00A309E6">
        <w:rPr>
          <w:rFonts w:ascii="Times New Roman" w:hAnsi="Times New Roman"/>
        </w:rPr>
        <w:t>bilag</w:t>
      </w:r>
      <w:r w:rsidRPr="00A309E6">
        <w:rPr>
          <w:rFonts w:ascii="Times New Roman" w:hAnsi="Times New Roman"/>
          <w:spacing w:val="-2"/>
        </w:rPr>
        <w:t xml:space="preserve"> </w:t>
      </w:r>
      <w:r w:rsidRPr="00A309E6">
        <w:rPr>
          <w:rFonts w:ascii="Times New Roman" w:hAnsi="Times New Roman"/>
        </w:rPr>
        <w:t>1</w:t>
      </w:r>
      <w:r>
        <w:rPr>
          <w:rFonts w:ascii="Times New Roman" w:hAnsi="Times New Roman"/>
        </w:rPr>
        <w:t>4</w:t>
      </w:r>
      <w:r w:rsidRPr="00A309E6">
        <w:rPr>
          <w:rFonts w:ascii="Times New Roman" w:hAnsi="Times New Roman"/>
        </w:rPr>
        <w:t>.</w:t>
      </w:r>
      <w:r w:rsidRPr="00A309E6">
        <w:rPr>
          <w:rFonts w:ascii="Times New Roman" w:hAnsi="Times New Roman"/>
          <w:spacing w:val="-2"/>
        </w:rPr>
        <w:t xml:space="preserve"> </w:t>
      </w:r>
      <w:r w:rsidRPr="00A309E6">
        <w:rPr>
          <w:rFonts w:ascii="Times New Roman" w:hAnsi="Times New Roman"/>
        </w:rPr>
        <w:t>I</w:t>
      </w:r>
      <w:r w:rsidRPr="00A309E6">
        <w:rPr>
          <w:rFonts w:ascii="Times New Roman" w:hAnsi="Times New Roman"/>
          <w:spacing w:val="-6"/>
        </w:rPr>
        <w:t xml:space="preserve"> </w:t>
      </w:r>
      <w:r w:rsidRPr="00A309E6">
        <w:rPr>
          <w:rFonts w:ascii="Times New Roman" w:hAnsi="Times New Roman"/>
        </w:rPr>
        <w:t>notatet</w:t>
      </w:r>
      <w:r w:rsidRPr="00A309E6">
        <w:rPr>
          <w:rFonts w:ascii="Times New Roman" w:hAnsi="Times New Roman"/>
          <w:spacing w:val="-3"/>
        </w:rPr>
        <w:t xml:space="preserve"> </w:t>
      </w:r>
      <w:r w:rsidRPr="00A309E6">
        <w:rPr>
          <w:rFonts w:ascii="Times New Roman" w:hAnsi="Times New Roman"/>
        </w:rPr>
        <w:t>er</w:t>
      </w:r>
      <w:r w:rsidRPr="00A309E6">
        <w:rPr>
          <w:rFonts w:ascii="Times New Roman" w:hAnsi="Times New Roman"/>
          <w:spacing w:val="-2"/>
        </w:rPr>
        <w:t xml:space="preserve"> </w:t>
      </w:r>
      <w:r w:rsidRPr="00A309E6">
        <w:rPr>
          <w:rFonts w:ascii="Times New Roman" w:hAnsi="Times New Roman"/>
        </w:rPr>
        <w:t>givet</w:t>
      </w:r>
      <w:r w:rsidRPr="00A309E6">
        <w:rPr>
          <w:rFonts w:ascii="Times New Roman" w:hAnsi="Times New Roman"/>
          <w:spacing w:val="-4"/>
        </w:rPr>
        <w:t xml:space="preserve"> </w:t>
      </w:r>
      <w:r w:rsidRPr="00A309E6">
        <w:rPr>
          <w:rFonts w:ascii="Times New Roman" w:hAnsi="Times New Roman"/>
        </w:rPr>
        <w:t>en</w:t>
      </w:r>
      <w:r w:rsidRPr="00A309E6">
        <w:rPr>
          <w:rFonts w:ascii="Times New Roman" w:hAnsi="Times New Roman"/>
          <w:spacing w:val="-4"/>
        </w:rPr>
        <w:t xml:space="preserve"> </w:t>
      </w:r>
      <w:r w:rsidRPr="00A309E6">
        <w:rPr>
          <w:rFonts w:ascii="Times New Roman" w:hAnsi="Times New Roman"/>
        </w:rPr>
        <w:t>række konkrete</w:t>
      </w:r>
      <w:r w:rsidRPr="00A309E6">
        <w:rPr>
          <w:rFonts w:ascii="Times New Roman" w:hAnsi="Times New Roman"/>
          <w:spacing w:val="-4"/>
        </w:rPr>
        <w:t xml:space="preserve"> </w:t>
      </w:r>
      <w:r w:rsidRPr="00A309E6">
        <w:rPr>
          <w:rFonts w:ascii="Times New Roman" w:hAnsi="Times New Roman"/>
        </w:rPr>
        <w:t>eksempler</w:t>
      </w:r>
      <w:r w:rsidRPr="00A309E6">
        <w:rPr>
          <w:rFonts w:ascii="Times New Roman" w:hAnsi="Times New Roman"/>
          <w:spacing w:val="-2"/>
        </w:rPr>
        <w:t xml:space="preserve"> </w:t>
      </w:r>
      <w:r w:rsidRPr="00A309E6">
        <w:rPr>
          <w:rFonts w:ascii="Times New Roman" w:hAnsi="Times New Roman"/>
        </w:rPr>
        <w:t>på</w:t>
      </w:r>
      <w:r w:rsidRPr="00A309E6">
        <w:rPr>
          <w:rFonts w:ascii="Times New Roman" w:hAnsi="Times New Roman"/>
          <w:spacing w:val="-3"/>
        </w:rPr>
        <w:t xml:space="preserve"> </w:t>
      </w:r>
      <w:r w:rsidRPr="00A309E6">
        <w:rPr>
          <w:rFonts w:ascii="Times New Roman" w:hAnsi="Times New Roman"/>
        </w:rPr>
        <w:t>håndtering</w:t>
      </w:r>
      <w:r w:rsidRPr="00A309E6">
        <w:rPr>
          <w:rFonts w:ascii="Times New Roman" w:hAnsi="Times New Roman"/>
          <w:spacing w:val="-4"/>
        </w:rPr>
        <w:t xml:space="preserve"> </w:t>
      </w:r>
      <w:r w:rsidRPr="00A309E6">
        <w:rPr>
          <w:rFonts w:ascii="Times New Roman" w:hAnsi="Times New Roman"/>
        </w:rPr>
        <w:t>af</w:t>
      </w:r>
      <w:r w:rsidRPr="00A309E6">
        <w:rPr>
          <w:rFonts w:ascii="Times New Roman" w:hAnsi="Times New Roman"/>
          <w:spacing w:val="-6"/>
        </w:rPr>
        <w:t xml:space="preserve"> </w:t>
      </w:r>
      <w:r w:rsidRPr="00A309E6">
        <w:rPr>
          <w:rFonts w:ascii="Times New Roman" w:hAnsi="Times New Roman"/>
        </w:rPr>
        <w:t>sådanne</w:t>
      </w:r>
      <w:r w:rsidRPr="00A309E6">
        <w:rPr>
          <w:rFonts w:ascii="Times New Roman" w:hAnsi="Times New Roman"/>
          <w:spacing w:val="-3"/>
        </w:rPr>
        <w:t xml:space="preserve"> </w:t>
      </w:r>
      <w:r w:rsidRPr="00A309E6">
        <w:rPr>
          <w:rFonts w:ascii="Times New Roman" w:hAnsi="Times New Roman"/>
        </w:rPr>
        <w:t>tilfælde, ligesom der er beskrevet principper for regnskabsaflæggelse.</w:t>
      </w:r>
    </w:p>
  </w:footnote>
  <w:footnote w:id="2">
    <w:p w14:paraId="34E6B118" w14:textId="77777777" w:rsidR="009A3617" w:rsidRPr="007451E2" w:rsidRDefault="009A3617" w:rsidP="009A3617">
      <w:pPr>
        <w:pStyle w:val="Fodnotetekst"/>
      </w:pPr>
      <w:r>
        <w:rPr>
          <w:rStyle w:val="Fodnotehenvisning"/>
        </w:rPr>
        <w:footnoteRef/>
      </w:r>
      <w:r>
        <w:rPr>
          <w:rFonts w:ascii="Times New Roman" w:hAnsi="Times New Roman"/>
        </w:rPr>
        <w:t xml:space="preserve"> </w:t>
      </w:r>
      <w:r w:rsidRPr="00A309E6">
        <w:rPr>
          <w:rFonts w:ascii="Times New Roman" w:hAnsi="Times New Roman"/>
        </w:rPr>
        <w:t>Ledelsesområde defineres som niveauet over tilbud/</w:t>
      </w:r>
      <w:r w:rsidRPr="00A309E6">
        <w:rPr>
          <w:rFonts w:ascii="Times New Roman" w:hAnsi="Times New Roman"/>
          <w:spacing w:val="-15"/>
        </w:rPr>
        <w:t xml:space="preserve"> </w:t>
      </w:r>
      <w:r w:rsidRPr="00A309E6">
        <w:rPr>
          <w:rFonts w:ascii="Times New Roman" w:hAnsi="Times New Roman"/>
        </w:rPr>
        <w:t>enhed</w:t>
      </w:r>
    </w:p>
  </w:footnote>
  <w:footnote w:id="3">
    <w:p w14:paraId="1124B7B2" w14:textId="77777777" w:rsidR="009A3617" w:rsidRPr="007451E2" w:rsidRDefault="009A3617" w:rsidP="009A3617">
      <w:pPr>
        <w:pStyle w:val="Fodnotetekst"/>
      </w:pPr>
      <w:r>
        <w:rPr>
          <w:rStyle w:val="Fodnotehenvisning"/>
        </w:rPr>
        <w:footnoteRef/>
      </w:r>
      <w:r w:rsidRPr="007451E2">
        <w:t xml:space="preserve"> </w:t>
      </w:r>
      <w:r w:rsidRPr="00A309E6">
        <w:rPr>
          <w:rFonts w:ascii="Times New Roman" w:hAnsi="Times New Roman"/>
        </w:rPr>
        <w:t>Ledelsesområde defineres som niveauet over tilbud/</w:t>
      </w:r>
      <w:r w:rsidRPr="00A309E6">
        <w:rPr>
          <w:rFonts w:ascii="Times New Roman" w:hAnsi="Times New Roman"/>
          <w:spacing w:val="-15"/>
        </w:rPr>
        <w:t xml:space="preserve"> </w:t>
      </w:r>
      <w:r w:rsidRPr="00A309E6">
        <w:rPr>
          <w:rFonts w:ascii="Times New Roman" w:hAnsi="Times New Roman"/>
        </w:rPr>
        <w:t>enhed.</w:t>
      </w:r>
    </w:p>
  </w:footnote>
  <w:footnote w:id="4">
    <w:p w14:paraId="48A7D033" w14:textId="77777777" w:rsidR="009A3617" w:rsidRPr="00F1219A" w:rsidRDefault="009A3617" w:rsidP="009A3617">
      <w:pPr>
        <w:pStyle w:val="Fodnotetekst"/>
      </w:pPr>
      <w:r>
        <w:rPr>
          <w:rStyle w:val="Fodnotehenvisning"/>
        </w:rPr>
        <w:footnoteRef/>
      </w:r>
      <w:r w:rsidRPr="00F1219A">
        <w:t xml:space="preserve"> </w:t>
      </w:r>
      <w:r>
        <w:t>I normale år beregnes taksten ud fra 365 dage og i skudår ud fra 366 dage.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2517D"/>
    <w:multiLevelType w:val="hybridMultilevel"/>
    <w:tmpl w:val="DFAA230E"/>
    <w:lvl w:ilvl="0" w:tplc="04060001">
      <w:start w:val="1"/>
      <w:numFmt w:val="bullet"/>
      <w:lvlText w:val=""/>
      <w:lvlJc w:val="left"/>
      <w:pPr>
        <w:ind w:left="872" w:hanging="360"/>
      </w:pPr>
      <w:rPr>
        <w:rFonts w:ascii="Symbol" w:hAnsi="Symbol" w:hint="default"/>
        <w:w w:val="100"/>
        <w:sz w:val="22"/>
        <w:szCs w:val="22"/>
      </w:rPr>
    </w:lvl>
    <w:lvl w:ilvl="1" w:tplc="03368E8E">
      <w:numFmt w:val="bullet"/>
      <w:lvlText w:val="•"/>
      <w:lvlJc w:val="left"/>
      <w:pPr>
        <w:ind w:left="1784" w:hanging="360"/>
      </w:pPr>
      <w:rPr>
        <w:rFonts w:hint="default"/>
      </w:rPr>
    </w:lvl>
    <w:lvl w:ilvl="2" w:tplc="76BC7E22">
      <w:numFmt w:val="bullet"/>
      <w:lvlText w:val="•"/>
      <w:lvlJc w:val="left"/>
      <w:pPr>
        <w:ind w:left="2688" w:hanging="360"/>
      </w:pPr>
      <w:rPr>
        <w:rFonts w:hint="default"/>
      </w:rPr>
    </w:lvl>
    <w:lvl w:ilvl="3" w:tplc="7C08D26C">
      <w:numFmt w:val="bullet"/>
      <w:lvlText w:val="•"/>
      <w:lvlJc w:val="left"/>
      <w:pPr>
        <w:ind w:left="3592" w:hanging="360"/>
      </w:pPr>
      <w:rPr>
        <w:rFonts w:hint="default"/>
      </w:rPr>
    </w:lvl>
    <w:lvl w:ilvl="4" w:tplc="2D30EB2A">
      <w:numFmt w:val="bullet"/>
      <w:lvlText w:val="•"/>
      <w:lvlJc w:val="left"/>
      <w:pPr>
        <w:ind w:left="4496" w:hanging="360"/>
      </w:pPr>
      <w:rPr>
        <w:rFonts w:hint="default"/>
      </w:rPr>
    </w:lvl>
    <w:lvl w:ilvl="5" w:tplc="6456AF96">
      <w:numFmt w:val="bullet"/>
      <w:lvlText w:val="•"/>
      <w:lvlJc w:val="left"/>
      <w:pPr>
        <w:ind w:left="5400" w:hanging="360"/>
      </w:pPr>
      <w:rPr>
        <w:rFonts w:hint="default"/>
      </w:rPr>
    </w:lvl>
    <w:lvl w:ilvl="6" w:tplc="7DCEAB20">
      <w:numFmt w:val="bullet"/>
      <w:lvlText w:val="•"/>
      <w:lvlJc w:val="left"/>
      <w:pPr>
        <w:ind w:left="6304" w:hanging="360"/>
      </w:pPr>
      <w:rPr>
        <w:rFonts w:hint="default"/>
      </w:rPr>
    </w:lvl>
    <w:lvl w:ilvl="7" w:tplc="606A33EE">
      <w:numFmt w:val="bullet"/>
      <w:lvlText w:val="•"/>
      <w:lvlJc w:val="left"/>
      <w:pPr>
        <w:ind w:left="7208" w:hanging="360"/>
      </w:pPr>
      <w:rPr>
        <w:rFonts w:hint="default"/>
      </w:rPr>
    </w:lvl>
    <w:lvl w:ilvl="8" w:tplc="819CC3E4">
      <w:numFmt w:val="bullet"/>
      <w:lvlText w:val="•"/>
      <w:lvlJc w:val="left"/>
      <w:pPr>
        <w:ind w:left="8112" w:hanging="360"/>
      </w:pPr>
      <w:rPr>
        <w:rFonts w:hint="default"/>
      </w:rPr>
    </w:lvl>
  </w:abstractNum>
  <w:abstractNum w:abstractNumId="1" w15:restartNumberingAfterBreak="0">
    <w:nsid w:val="05065DD3"/>
    <w:multiLevelType w:val="hybridMultilevel"/>
    <w:tmpl w:val="799CD812"/>
    <w:lvl w:ilvl="0" w:tplc="EC08B74A">
      <w:start w:val="1"/>
      <w:numFmt w:val="lowerLetter"/>
      <w:lvlText w:val="%1)"/>
      <w:lvlJc w:val="left"/>
      <w:pPr>
        <w:ind w:left="388" w:hanging="288"/>
      </w:pPr>
      <w:rPr>
        <w:rFonts w:ascii="Arial" w:eastAsia="Arial" w:hAnsi="Arial" w:cs="Arial" w:hint="default"/>
        <w:b/>
        <w:bCs/>
        <w:spacing w:val="-1"/>
        <w:w w:val="99"/>
        <w:sz w:val="20"/>
        <w:szCs w:val="20"/>
      </w:rPr>
    </w:lvl>
    <w:lvl w:ilvl="1" w:tplc="270EC228">
      <w:start w:val="1"/>
      <w:numFmt w:val="decimal"/>
      <w:lvlText w:val="%2."/>
      <w:lvlJc w:val="left"/>
      <w:pPr>
        <w:ind w:left="1052" w:hanging="360"/>
      </w:pPr>
      <w:rPr>
        <w:rFonts w:ascii="Arial" w:eastAsia="Arial" w:hAnsi="Arial" w:cs="Arial" w:hint="default"/>
        <w:w w:val="100"/>
        <w:sz w:val="21"/>
        <w:szCs w:val="21"/>
      </w:rPr>
    </w:lvl>
    <w:lvl w:ilvl="2" w:tplc="F05C9A30">
      <w:numFmt w:val="bullet"/>
      <w:lvlText w:val="•"/>
      <w:lvlJc w:val="left"/>
      <w:pPr>
        <w:ind w:left="2095" w:hanging="360"/>
      </w:pPr>
      <w:rPr>
        <w:rFonts w:hint="default"/>
      </w:rPr>
    </w:lvl>
    <w:lvl w:ilvl="3" w:tplc="8C88D946">
      <w:numFmt w:val="bullet"/>
      <w:lvlText w:val="•"/>
      <w:lvlJc w:val="left"/>
      <w:pPr>
        <w:ind w:left="3131" w:hanging="360"/>
      </w:pPr>
      <w:rPr>
        <w:rFonts w:hint="default"/>
      </w:rPr>
    </w:lvl>
    <w:lvl w:ilvl="4" w:tplc="0EF2AEA2">
      <w:numFmt w:val="bullet"/>
      <w:lvlText w:val="•"/>
      <w:lvlJc w:val="left"/>
      <w:pPr>
        <w:ind w:left="4166" w:hanging="360"/>
      </w:pPr>
      <w:rPr>
        <w:rFonts w:hint="default"/>
      </w:rPr>
    </w:lvl>
    <w:lvl w:ilvl="5" w:tplc="F9E8C314">
      <w:numFmt w:val="bullet"/>
      <w:lvlText w:val="•"/>
      <w:lvlJc w:val="left"/>
      <w:pPr>
        <w:ind w:left="5202" w:hanging="360"/>
      </w:pPr>
      <w:rPr>
        <w:rFonts w:hint="default"/>
      </w:rPr>
    </w:lvl>
    <w:lvl w:ilvl="6" w:tplc="61F20B6A">
      <w:numFmt w:val="bullet"/>
      <w:lvlText w:val="•"/>
      <w:lvlJc w:val="left"/>
      <w:pPr>
        <w:ind w:left="6237" w:hanging="360"/>
      </w:pPr>
      <w:rPr>
        <w:rFonts w:hint="default"/>
      </w:rPr>
    </w:lvl>
    <w:lvl w:ilvl="7" w:tplc="4A5C14D4">
      <w:numFmt w:val="bullet"/>
      <w:lvlText w:val="•"/>
      <w:lvlJc w:val="left"/>
      <w:pPr>
        <w:ind w:left="7273" w:hanging="360"/>
      </w:pPr>
      <w:rPr>
        <w:rFonts w:hint="default"/>
      </w:rPr>
    </w:lvl>
    <w:lvl w:ilvl="8" w:tplc="70748310">
      <w:numFmt w:val="bullet"/>
      <w:lvlText w:val="•"/>
      <w:lvlJc w:val="left"/>
      <w:pPr>
        <w:ind w:left="8308" w:hanging="360"/>
      </w:pPr>
      <w:rPr>
        <w:rFonts w:hint="default"/>
      </w:rPr>
    </w:lvl>
  </w:abstractNum>
  <w:abstractNum w:abstractNumId="2" w15:restartNumberingAfterBreak="0">
    <w:nsid w:val="0E8C45CA"/>
    <w:multiLevelType w:val="hybridMultilevel"/>
    <w:tmpl w:val="3840666A"/>
    <w:lvl w:ilvl="0" w:tplc="5FDE3FC8">
      <w:numFmt w:val="bullet"/>
      <w:lvlText w:val=""/>
      <w:lvlJc w:val="left"/>
      <w:pPr>
        <w:ind w:left="1052" w:hanging="360"/>
      </w:pPr>
      <w:rPr>
        <w:rFonts w:ascii="Symbol" w:eastAsia="Symbol" w:hAnsi="Symbol" w:cs="Symbol" w:hint="default"/>
        <w:w w:val="100"/>
        <w:sz w:val="21"/>
        <w:szCs w:val="21"/>
      </w:rPr>
    </w:lvl>
    <w:lvl w:ilvl="1" w:tplc="62E69836">
      <w:numFmt w:val="bullet"/>
      <w:lvlText w:val="•"/>
      <w:lvlJc w:val="left"/>
      <w:pPr>
        <w:ind w:left="1992" w:hanging="360"/>
      </w:pPr>
      <w:rPr>
        <w:rFonts w:hint="default"/>
      </w:rPr>
    </w:lvl>
    <w:lvl w:ilvl="2" w:tplc="DB20E37C">
      <w:numFmt w:val="bullet"/>
      <w:lvlText w:val="•"/>
      <w:lvlJc w:val="left"/>
      <w:pPr>
        <w:ind w:left="2924" w:hanging="360"/>
      </w:pPr>
      <w:rPr>
        <w:rFonts w:hint="default"/>
      </w:rPr>
    </w:lvl>
    <w:lvl w:ilvl="3" w:tplc="AF1A26E0">
      <w:numFmt w:val="bullet"/>
      <w:lvlText w:val="•"/>
      <w:lvlJc w:val="left"/>
      <w:pPr>
        <w:ind w:left="3856" w:hanging="360"/>
      </w:pPr>
      <w:rPr>
        <w:rFonts w:hint="default"/>
      </w:rPr>
    </w:lvl>
    <w:lvl w:ilvl="4" w:tplc="A2F2A306">
      <w:numFmt w:val="bullet"/>
      <w:lvlText w:val="•"/>
      <w:lvlJc w:val="left"/>
      <w:pPr>
        <w:ind w:left="4788" w:hanging="360"/>
      </w:pPr>
      <w:rPr>
        <w:rFonts w:hint="default"/>
      </w:rPr>
    </w:lvl>
    <w:lvl w:ilvl="5" w:tplc="BA6C6E64">
      <w:numFmt w:val="bullet"/>
      <w:lvlText w:val="•"/>
      <w:lvlJc w:val="left"/>
      <w:pPr>
        <w:ind w:left="5720" w:hanging="360"/>
      </w:pPr>
      <w:rPr>
        <w:rFonts w:hint="default"/>
      </w:rPr>
    </w:lvl>
    <w:lvl w:ilvl="6" w:tplc="85FA4FB0">
      <w:numFmt w:val="bullet"/>
      <w:lvlText w:val="•"/>
      <w:lvlJc w:val="left"/>
      <w:pPr>
        <w:ind w:left="6652" w:hanging="360"/>
      </w:pPr>
      <w:rPr>
        <w:rFonts w:hint="default"/>
      </w:rPr>
    </w:lvl>
    <w:lvl w:ilvl="7" w:tplc="62664176">
      <w:numFmt w:val="bullet"/>
      <w:lvlText w:val="•"/>
      <w:lvlJc w:val="left"/>
      <w:pPr>
        <w:ind w:left="7584" w:hanging="360"/>
      </w:pPr>
      <w:rPr>
        <w:rFonts w:hint="default"/>
      </w:rPr>
    </w:lvl>
    <w:lvl w:ilvl="8" w:tplc="A85AFB32">
      <w:numFmt w:val="bullet"/>
      <w:lvlText w:val="•"/>
      <w:lvlJc w:val="left"/>
      <w:pPr>
        <w:ind w:left="8516" w:hanging="360"/>
      </w:pPr>
      <w:rPr>
        <w:rFonts w:hint="default"/>
      </w:rPr>
    </w:lvl>
  </w:abstractNum>
  <w:abstractNum w:abstractNumId="3" w15:restartNumberingAfterBreak="0">
    <w:nsid w:val="1DBF6EB8"/>
    <w:multiLevelType w:val="hybridMultilevel"/>
    <w:tmpl w:val="A71C483E"/>
    <w:lvl w:ilvl="0" w:tplc="C9684DB4">
      <w:numFmt w:val="bullet"/>
      <w:lvlText w:val="*"/>
      <w:lvlJc w:val="left"/>
      <w:pPr>
        <w:ind w:left="388" w:hanging="132"/>
      </w:pPr>
      <w:rPr>
        <w:rFonts w:ascii="Arial" w:eastAsia="Arial" w:hAnsi="Arial" w:cs="Arial" w:hint="default"/>
        <w:w w:val="99"/>
        <w:sz w:val="20"/>
        <w:szCs w:val="20"/>
      </w:rPr>
    </w:lvl>
    <w:lvl w:ilvl="1" w:tplc="80FCD17A">
      <w:numFmt w:val="bullet"/>
      <w:lvlText w:val=""/>
      <w:lvlJc w:val="left"/>
      <w:pPr>
        <w:ind w:left="1052" w:hanging="360"/>
      </w:pPr>
      <w:rPr>
        <w:rFonts w:ascii="Symbol" w:eastAsia="Symbol" w:hAnsi="Symbol" w:cs="Symbol" w:hint="default"/>
        <w:w w:val="100"/>
        <w:sz w:val="21"/>
        <w:szCs w:val="21"/>
      </w:rPr>
    </w:lvl>
    <w:lvl w:ilvl="2" w:tplc="EB00101E">
      <w:numFmt w:val="bullet"/>
      <w:lvlText w:val="•"/>
      <w:lvlJc w:val="left"/>
      <w:pPr>
        <w:ind w:left="2095" w:hanging="360"/>
      </w:pPr>
      <w:rPr>
        <w:rFonts w:hint="default"/>
      </w:rPr>
    </w:lvl>
    <w:lvl w:ilvl="3" w:tplc="A8D22C26">
      <w:numFmt w:val="bullet"/>
      <w:lvlText w:val="•"/>
      <w:lvlJc w:val="left"/>
      <w:pPr>
        <w:ind w:left="3131" w:hanging="360"/>
      </w:pPr>
      <w:rPr>
        <w:rFonts w:hint="default"/>
      </w:rPr>
    </w:lvl>
    <w:lvl w:ilvl="4" w:tplc="32900ABE">
      <w:numFmt w:val="bullet"/>
      <w:lvlText w:val="•"/>
      <w:lvlJc w:val="left"/>
      <w:pPr>
        <w:ind w:left="4166" w:hanging="360"/>
      </w:pPr>
      <w:rPr>
        <w:rFonts w:hint="default"/>
      </w:rPr>
    </w:lvl>
    <w:lvl w:ilvl="5" w:tplc="67583820">
      <w:numFmt w:val="bullet"/>
      <w:lvlText w:val="•"/>
      <w:lvlJc w:val="left"/>
      <w:pPr>
        <w:ind w:left="5202" w:hanging="360"/>
      </w:pPr>
      <w:rPr>
        <w:rFonts w:hint="default"/>
      </w:rPr>
    </w:lvl>
    <w:lvl w:ilvl="6" w:tplc="9828DE1A">
      <w:numFmt w:val="bullet"/>
      <w:lvlText w:val="•"/>
      <w:lvlJc w:val="left"/>
      <w:pPr>
        <w:ind w:left="6237" w:hanging="360"/>
      </w:pPr>
      <w:rPr>
        <w:rFonts w:hint="default"/>
      </w:rPr>
    </w:lvl>
    <w:lvl w:ilvl="7" w:tplc="3EB8A0B8">
      <w:numFmt w:val="bullet"/>
      <w:lvlText w:val="•"/>
      <w:lvlJc w:val="left"/>
      <w:pPr>
        <w:ind w:left="7273" w:hanging="360"/>
      </w:pPr>
      <w:rPr>
        <w:rFonts w:hint="default"/>
      </w:rPr>
    </w:lvl>
    <w:lvl w:ilvl="8" w:tplc="65BA1834">
      <w:numFmt w:val="bullet"/>
      <w:lvlText w:val="•"/>
      <w:lvlJc w:val="left"/>
      <w:pPr>
        <w:ind w:left="8308" w:hanging="360"/>
      </w:pPr>
      <w:rPr>
        <w:rFonts w:hint="default"/>
      </w:rPr>
    </w:lvl>
  </w:abstractNum>
  <w:abstractNum w:abstractNumId="4" w15:restartNumberingAfterBreak="0">
    <w:nsid w:val="2A2D3F6F"/>
    <w:multiLevelType w:val="hybridMultilevel"/>
    <w:tmpl w:val="93EEB5A2"/>
    <w:lvl w:ilvl="0" w:tplc="918AD8EC">
      <w:numFmt w:val="bullet"/>
      <w:lvlText w:val=""/>
      <w:lvlJc w:val="left"/>
      <w:pPr>
        <w:ind w:left="1052" w:hanging="360"/>
      </w:pPr>
      <w:rPr>
        <w:rFonts w:ascii="Symbol" w:eastAsia="Symbol" w:hAnsi="Symbol" w:cs="Symbol" w:hint="default"/>
        <w:w w:val="100"/>
        <w:sz w:val="21"/>
        <w:szCs w:val="21"/>
      </w:rPr>
    </w:lvl>
    <w:lvl w:ilvl="1" w:tplc="54D01E4A">
      <w:numFmt w:val="bullet"/>
      <w:lvlText w:val="•"/>
      <w:lvlJc w:val="left"/>
      <w:pPr>
        <w:ind w:left="1992" w:hanging="360"/>
      </w:pPr>
      <w:rPr>
        <w:rFonts w:hint="default"/>
      </w:rPr>
    </w:lvl>
    <w:lvl w:ilvl="2" w:tplc="7B46AD24">
      <w:numFmt w:val="bullet"/>
      <w:lvlText w:val="•"/>
      <w:lvlJc w:val="left"/>
      <w:pPr>
        <w:ind w:left="2924" w:hanging="360"/>
      </w:pPr>
      <w:rPr>
        <w:rFonts w:hint="default"/>
      </w:rPr>
    </w:lvl>
    <w:lvl w:ilvl="3" w:tplc="BB1E17FA">
      <w:numFmt w:val="bullet"/>
      <w:lvlText w:val="•"/>
      <w:lvlJc w:val="left"/>
      <w:pPr>
        <w:ind w:left="3856" w:hanging="360"/>
      </w:pPr>
      <w:rPr>
        <w:rFonts w:hint="default"/>
      </w:rPr>
    </w:lvl>
    <w:lvl w:ilvl="4" w:tplc="221C1872">
      <w:numFmt w:val="bullet"/>
      <w:lvlText w:val="•"/>
      <w:lvlJc w:val="left"/>
      <w:pPr>
        <w:ind w:left="4788" w:hanging="360"/>
      </w:pPr>
      <w:rPr>
        <w:rFonts w:hint="default"/>
      </w:rPr>
    </w:lvl>
    <w:lvl w:ilvl="5" w:tplc="17B271F8">
      <w:numFmt w:val="bullet"/>
      <w:lvlText w:val="•"/>
      <w:lvlJc w:val="left"/>
      <w:pPr>
        <w:ind w:left="5720" w:hanging="360"/>
      </w:pPr>
      <w:rPr>
        <w:rFonts w:hint="default"/>
      </w:rPr>
    </w:lvl>
    <w:lvl w:ilvl="6" w:tplc="BF166534">
      <w:numFmt w:val="bullet"/>
      <w:lvlText w:val="•"/>
      <w:lvlJc w:val="left"/>
      <w:pPr>
        <w:ind w:left="6652" w:hanging="360"/>
      </w:pPr>
      <w:rPr>
        <w:rFonts w:hint="default"/>
      </w:rPr>
    </w:lvl>
    <w:lvl w:ilvl="7" w:tplc="D646F20E">
      <w:numFmt w:val="bullet"/>
      <w:lvlText w:val="•"/>
      <w:lvlJc w:val="left"/>
      <w:pPr>
        <w:ind w:left="7584" w:hanging="360"/>
      </w:pPr>
      <w:rPr>
        <w:rFonts w:hint="default"/>
      </w:rPr>
    </w:lvl>
    <w:lvl w:ilvl="8" w:tplc="B1F6B0CE">
      <w:numFmt w:val="bullet"/>
      <w:lvlText w:val="•"/>
      <w:lvlJc w:val="left"/>
      <w:pPr>
        <w:ind w:left="8516" w:hanging="360"/>
      </w:pPr>
      <w:rPr>
        <w:rFonts w:hint="default"/>
      </w:rPr>
    </w:lvl>
  </w:abstractNum>
  <w:abstractNum w:abstractNumId="5" w15:restartNumberingAfterBreak="0">
    <w:nsid w:val="3335489C"/>
    <w:multiLevelType w:val="hybridMultilevel"/>
    <w:tmpl w:val="8488B634"/>
    <w:lvl w:ilvl="0" w:tplc="69660D9C">
      <w:start w:val="1"/>
      <w:numFmt w:val="decimal"/>
      <w:lvlText w:val="%1."/>
      <w:lvlJc w:val="left"/>
      <w:pPr>
        <w:ind w:left="1052" w:hanging="360"/>
      </w:pPr>
      <w:rPr>
        <w:rFonts w:ascii="Arial" w:eastAsia="Arial" w:hAnsi="Arial" w:cs="Arial" w:hint="default"/>
        <w:w w:val="100"/>
        <w:sz w:val="21"/>
        <w:szCs w:val="21"/>
      </w:rPr>
    </w:lvl>
    <w:lvl w:ilvl="1" w:tplc="7512B958">
      <w:numFmt w:val="bullet"/>
      <w:lvlText w:val="•"/>
      <w:lvlJc w:val="left"/>
      <w:pPr>
        <w:ind w:left="1992" w:hanging="360"/>
      </w:pPr>
      <w:rPr>
        <w:rFonts w:hint="default"/>
      </w:rPr>
    </w:lvl>
    <w:lvl w:ilvl="2" w:tplc="FE465B7E">
      <w:numFmt w:val="bullet"/>
      <w:lvlText w:val="•"/>
      <w:lvlJc w:val="left"/>
      <w:pPr>
        <w:ind w:left="2924" w:hanging="360"/>
      </w:pPr>
      <w:rPr>
        <w:rFonts w:hint="default"/>
      </w:rPr>
    </w:lvl>
    <w:lvl w:ilvl="3" w:tplc="67BE723C">
      <w:numFmt w:val="bullet"/>
      <w:lvlText w:val="•"/>
      <w:lvlJc w:val="left"/>
      <w:pPr>
        <w:ind w:left="3856" w:hanging="360"/>
      </w:pPr>
      <w:rPr>
        <w:rFonts w:hint="default"/>
      </w:rPr>
    </w:lvl>
    <w:lvl w:ilvl="4" w:tplc="0C7EAB7A">
      <w:numFmt w:val="bullet"/>
      <w:lvlText w:val="•"/>
      <w:lvlJc w:val="left"/>
      <w:pPr>
        <w:ind w:left="4788" w:hanging="360"/>
      </w:pPr>
      <w:rPr>
        <w:rFonts w:hint="default"/>
      </w:rPr>
    </w:lvl>
    <w:lvl w:ilvl="5" w:tplc="D0FE566A">
      <w:numFmt w:val="bullet"/>
      <w:lvlText w:val="•"/>
      <w:lvlJc w:val="left"/>
      <w:pPr>
        <w:ind w:left="5720" w:hanging="360"/>
      </w:pPr>
      <w:rPr>
        <w:rFonts w:hint="default"/>
      </w:rPr>
    </w:lvl>
    <w:lvl w:ilvl="6" w:tplc="8B582F0C">
      <w:numFmt w:val="bullet"/>
      <w:lvlText w:val="•"/>
      <w:lvlJc w:val="left"/>
      <w:pPr>
        <w:ind w:left="6652" w:hanging="360"/>
      </w:pPr>
      <w:rPr>
        <w:rFonts w:hint="default"/>
      </w:rPr>
    </w:lvl>
    <w:lvl w:ilvl="7" w:tplc="3A4E4208">
      <w:numFmt w:val="bullet"/>
      <w:lvlText w:val="•"/>
      <w:lvlJc w:val="left"/>
      <w:pPr>
        <w:ind w:left="7584" w:hanging="360"/>
      </w:pPr>
      <w:rPr>
        <w:rFonts w:hint="default"/>
      </w:rPr>
    </w:lvl>
    <w:lvl w:ilvl="8" w:tplc="A912C374">
      <w:numFmt w:val="bullet"/>
      <w:lvlText w:val="•"/>
      <w:lvlJc w:val="left"/>
      <w:pPr>
        <w:ind w:left="8516" w:hanging="360"/>
      </w:pPr>
      <w:rPr>
        <w:rFonts w:hint="default"/>
      </w:rPr>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617"/>
    <w:rsid w:val="000D5A9B"/>
    <w:rsid w:val="009A361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D0926"/>
  <w15:chartTrackingRefBased/>
  <w15:docId w15:val="{B91429DF-7B0F-42CE-9E0B-5A1550B22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617"/>
    <w:pPr>
      <w:widowControl w:val="0"/>
      <w:autoSpaceDE w:val="0"/>
      <w:autoSpaceDN w:val="0"/>
      <w:spacing w:after="0" w:line="240" w:lineRule="auto"/>
    </w:pPr>
    <w:rPr>
      <w:rFonts w:ascii="Arial" w:eastAsia="Arial" w:hAnsi="Arial" w:cs="Arial"/>
    </w:rPr>
  </w:style>
  <w:style w:type="paragraph" w:styleId="Overskrift1">
    <w:name w:val="heading 1"/>
    <w:basedOn w:val="Normal"/>
    <w:link w:val="Overskrift1Tegn"/>
    <w:uiPriority w:val="9"/>
    <w:qFormat/>
    <w:rsid w:val="009A3617"/>
    <w:pPr>
      <w:ind w:left="332"/>
      <w:outlineLvl w:val="0"/>
    </w:pPr>
    <w:rPr>
      <w:rFonts w:ascii="Cambria" w:eastAsia="Cambria" w:hAnsi="Cambria" w:cs="Cambria"/>
      <w:sz w:val="36"/>
      <w:szCs w:val="36"/>
    </w:rPr>
  </w:style>
  <w:style w:type="paragraph" w:styleId="Overskrift2">
    <w:name w:val="heading 2"/>
    <w:basedOn w:val="Normal"/>
    <w:link w:val="Overskrift2Tegn"/>
    <w:uiPriority w:val="9"/>
    <w:unhideWhenUsed/>
    <w:qFormat/>
    <w:rsid w:val="009A3617"/>
    <w:pPr>
      <w:ind w:left="332"/>
      <w:outlineLvl w:val="1"/>
    </w:pPr>
    <w:rPr>
      <w:b/>
      <w:bCs/>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9A3617"/>
    <w:rPr>
      <w:rFonts w:ascii="Cambria" w:eastAsia="Cambria" w:hAnsi="Cambria" w:cs="Cambria"/>
      <w:sz w:val="36"/>
      <w:szCs w:val="36"/>
    </w:rPr>
  </w:style>
  <w:style w:type="character" w:customStyle="1" w:styleId="Overskrift2Tegn">
    <w:name w:val="Overskrift 2 Tegn"/>
    <w:basedOn w:val="Standardskrifttypeiafsnit"/>
    <w:link w:val="Overskrift2"/>
    <w:uiPriority w:val="9"/>
    <w:rsid w:val="009A3617"/>
    <w:rPr>
      <w:rFonts w:ascii="Arial" w:eastAsia="Arial" w:hAnsi="Arial" w:cs="Arial"/>
      <w:b/>
      <w:bCs/>
      <w:sz w:val="21"/>
      <w:szCs w:val="21"/>
    </w:rPr>
  </w:style>
  <w:style w:type="paragraph" w:styleId="Brdtekst">
    <w:name w:val="Body Text"/>
    <w:basedOn w:val="Normal"/>
    <w:link w:val="BrdtekstTegn"/>
    <w:uiPriority w:val="1"/>
    <w:qFormat/>
    <w:rsid w:val="009A3617"/>
    <w:rPr>
      <w:sz w:val="21"/>
      <w:szCs w:val="21"/>
    </w:rPr>
  </w:style>
  <w:style w:type="character" w:customStyle="1" w:styleId="BrdtekstTegn">
    <w:name w:val="Brødtekst Tegn"/>
    <w:basedOn w:val="Standardskrifttypeiafsnit"/>
    <w:link w:val="Brdtekst"/>
    <w:uiPriority w:val="1"/>
    <w:rsid w:val="009A3617"/>
    <w:rPr>
      <w:rFonts w:ascii="Arial" w:eastAsia="Arial" w:hAnsi="Arial" w:cs="Arial"/>
      <w:sz w:val="21"/>
      <w:szCs w:val="21"/>
    </w:rPr>
  </w:style>
  <w:style w:type="paragraph" w:styleId="Listeafsnit">
    <w:name w:val="List Paragraph"/>
    <w:basedOn w:val="Normal"/>
    <w:uiPriority w:val="34"/>
    <w:qFormat/>
    <w:rsid w:val="009A3617"/>
    <w:pPr>
      <w:ind w:left="1052" w:hanging="361"/>
    </w:pPr>
  </w:style>
  <w:style w:type="character" w:styleId="Hyperlink">
    <w:name w:val="Hyperlink"/>
    <w:basedOn w:val="Standardskrifttypeiafsnit"/>
    <w:uiPriority w:val="99"/>
    <w:unhideWhenUsed/>
    <w:rsid w:val="009A3617"/>
    <w:rPr>
      <w:color w:val="0563C1" w:themeColor="hyperlink"/>
      <w:u w:val="single"/>
    </w:rPr>
  </w:style>
  <w:style w:type="paragraph" w:styleId="Fodnotetekst">
    <w:name w:val="footnote text"/>
    <w:basedOn w:val="Normal"/>
    <w:link w:val="FodnotetekstTegn"/>
    <w:uiPriority w:val="99"/>
    <w:semiHidden/>
    <w:unhideWhenUsed/>
    <w:rsid w:val="009A3617"/>
    <w:rPr>
      <w:sz w:val="20"/>
      <w:szCs w:val="20"/>
    </w:rPr>
  </w:style>
  <w:style w:type="character" w:customStyle="1" w:styleId="FodnotetekstTegn">
    <w:name w:val="Fodnotetekst Tegn"/>
    <w:basedOn w:val="Standardskrifttypeiafsnit"/>
    <w:link w:val="Fodnotetekst"/>
    <w:uiPriority w:val="99"/>
    <w:semiHidden/>
    <w:rsid w:val="009A3617"/>
    <w:rPr>
      <w:rFonts w:ascii="Arial" w:eastAsia="Arial" w:hAnsi="Arial" w:cs="Arial"/>
      <w:sz w:val="20"/>
      <w:szCs w:val="20"/>
    </w:rPr>
  </w:style>
  <w:style w:type="character" w:styleId="Fodnotehenvisning">
    <w:name w:val="footnote reference"/>
    <w:basedOn w:val="Standardskrifttypeiafsnit"/>
    <w:uiPriority w:val="99"/>
    <w:semiHidden/>
    <w:unhideWhenUsed/>
    <w:rsid w:val="009A36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ialsekretariatet.dk/" TargetMode="External"/><Relationship Id="rId3" Type="http://schemas.openxmlformats.org/officeDocument/2006/relationships/settings" Target="settings.xml"/><Relationship Id="rId7" Type="http://schemas.openxmlformats.org/officeDocument/2006/relationships/hyperlink" Target="https://www.retsinformation.dk/eli/lta/202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2252</Words>
  <Characters>13743</Characters>
  <Application>Microsoft Office Word</Application>
  <DocSecurity>0</DocSecurity>
  <Lines>114</Lines>
  <Paragraphs>31</Paragraphs>
  <ScaleCrop>false</ScaleCrop>
  <Company>Middelfart Kommune</Company>
  <LinksUpToDate>false</LinksUpToDate>
  <CharactersWithSpaces>15964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Kryger</dc:creator>
  <cp:keywords/>
  <dc:description/>
  <cp:lastModifiedBy>Nina Kryger</cp:lastModifiedBy>
  <cp:revision>1</cp:revision>
  <dcterms:created xsi:type="dcterms:W3CDTF">2022-12-19T08:35:00Z</dcterms:created>
  <dcterms:modified xsi:type="dcterms:W3CDTF">2022-12-19T08:37:00Z</dcterms:modified>
</cp:coreProperties>
</file>