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3E7FE" w14:textId="77777777" w:rsidR="005C6C02" w:rsidRPr="00B355B0" w:rsidRDefault="005C6C02" w:rsidP="005C6C02">
      <w:pPr>
        <w:pStyle w:val="Overskrift1"/>
        <w:ind w:left="0"/>
        <w:jc w:val="both"/>
        <w:rPr>
          <w:color w:val="C45911" w:themeColor="accent2" w:themeShade="BF"/>
        </w:rPr>
      </w:pPr>
      <w:bookmarkStart w:id="0" w:name="_Toc104897252"/>
      <w:r w:rsidRPr="00B355B0">
        <w:rPr>
          <w:color w:val="C45911" w:themeColor="accent2" w:themeShade="BF"/>
        </w:rPr>
        <w:t>Bilag 13: Afregningsregler/betalingsaftaler</w:t>
      </w:r>
      <w:bookmarkEnd w:id="0"/>
    </w:p>
    <w:p w14:paraId="34980046" w14:textId="77777777" w:rsidR="005C6C02" w:rsidRPr="00A309E6" w:rsidRDefault="005C6C02" w:rsidP="005C6C02">
      <w:pPr>
        <w:pStyle w:val="Brdtekst"/>
        <w:spacing w:before="1"/>
        <w:rPr>
          <w:rFonts w:ascii="Cambria"/>
          <w:sz w:val="34"/>
        </w:rPr>
      </w:pPr>
    </w:p>
    <w:p w14:paraId="464F40CA" w14:textId="77777777" w:rsidR="005C6C02" w:rsidRPr="00BF6443" w:rsidRDefault="005C6C02" w:rsidP="005C6C02">
      <w:pPr>
        <w:rPr>
          <w:b/>
          <w:bCs/>
        </w:rPr>
      </w:pPr>
      <w:r w:rsidRPr="00BF6443">
        <w:rPr>
          <w:b/>
          <w:bCs/>
        </w:rPr>
        <w:t xml:space="preserve">Afregningsregler </w:t>
      </w:r>
    </w:p>
    <w:p w14:paraId="69756A89" w14:textId="77777777" w:rsidR="005C6C02" w:rsidRDefault="005C6C02" w:rsidP="005C6C02">
      <w:r>
        <w:t xml:space="preserve">Udbyderen sender månedligt faktura til køberen via betalingskommunens ean-nummer. Fristen for betaling fastsættes til 1 måned. Betalingerne skal ske elektronisk. Senere betaling end 1 måned kan påføres morarenter efter udbyders beslutning. Såfremt der er uenighed om en regning, meddeles dette til udbyderen helst inden for 14 dage, og udbyderen foretager de nødvendige berigtigelser i kommende afregning. </w:t>
      </w:r>
    </w:p>
    <w:p w14:paraId="5884EBD9" w14:textId="77777777" w:rsidR="005C6C02" w:rsidRDefault="005C6C02" w:rsidP="005C6C02"/>
    <w:p w14:paraId="7E58DB1D" w14:textId="77777777" w:rsidR="005C6C02" w:rsidRDefault="005C6C02" w:rsidP="005C6C02">
      <w:pPr>
        <w:rPr>
          <w:rFonts w:ascii="Calibri" w:hAnsi="Calibri" w:cs="Times New Roman"/>
        </w:rPr>
      </w:pPr>
      <w:r>
        <w:t xml:space="preserve">På specialundervisningstilbud betales der takst pr. døgn/dag ud fra en af følgende beregnings- og afregningsmetoder: </w:t>
      </w:r>
    </w:p>
    <w:p w14:paraId="31DAEE55" w14:textId="77777777" w:rsidR="005C6C02" w:rsidRDefault="005C6C02" w:rsidP="005C6C02">
      <w:pPr>
        <w:pStyle w:val="Brdtekst"/>
        <w:widowControl/>
        <w:numPr>
          <w:ilvl w:val="0"/>
          <w:numId w:val="2"/>
        </w:numPr>
        <w:spacing w:before="119"/>
      </w:pPr>
      <w:r>
        <w:t>Der afregnes for 334 dage (335 dage i et skudår). Et skoleår starter 1. august og slutter 30. juni. Juli er betalingsfri. (eksempelvis specialskole).</w:t>
      </w:r>
    </w:p>
    <w:p w14:paraId="36F60407" w14:textId="77777777" w:rsidR="005C6C02" w:rsidRDefault="005C6C02" w:rsidP="005C6C02">
      <w:pPr>
        <w:pStyle w:val="Brdtekst"/>
        <w:widowControl/>
        <w:numPr>
          <w:ilvl w:val="0"/>
          <w:numId w:val="2"/>
        </w:numPr>
        <w:spacing w:before="119"/>
      </w:pPr>
      <w:r>
        <w:t>Der afregnes for 365 dage (366 dage i et skudår). Et skoleår starter den 1. august og slutter 31. juli. Der kan ikke opsiges til ophør af betaling den 30. juni, da ophør ved skoleårets afslutning betyder afregning til 31. juli. (eksempelvis intern skole).</w:t>
      </w:r>
    </w:p>
    <w:p w14:paraId="17054F85" w14:textId="77777777" w:rsidR="005C6C02" w:rsidRDefault="005C6C02" w:rsidP="005C6C02"/>
    <w:p w14:paraId="41C86607" w14:textId="77777777" w:rsidR="005C6C02" w:rsidRDefault="005C6C02" w:rsidP="005C6C02">
      <w:pPr>
        <w:rPr>
          <w:color w:val="1F497D"/>
        </w:rPr>
      </w:pPr>
      <w:r>
        <w:t>Se endvidere beregningsmetode i bilag 10.</w:t>
      </w:r>
    </w:p>
    <w:p w14:paraId="3FFEE3AC" w14:textId="77777777" w:rsidR="005C6C02" w:rsidRDefault="005C6C02" w:rsidP="005C6C02"/>
    <w:p w14:paraId="3071221D" w14:textId="77777777" w:rsidR="005C6C02" w:rsidRDefault="005C6C02" w:rsidP="005C6C02">
      <w:r w:rsidRPr="00BF6443">
        <w:rPr>
          <w:b/>
          <w:bCs/>
        </w:rPr>
        <w:t>Beslutningen på SDF 23. juni 2021</w:t>
      </w:r>
      <w:r>
        <w:t>.</w:t>
      </w:r>
    </w:p>
    <w:p w14:paraId="7F368A33" w14:textId="77777777" w:rsidR="005C6C02" w:rsidRPr="00926053" w:rsidRDefault="005C6C02" w:rsidP="005C6C02">
      <w:pPr>
        <w:shd w:val="clear" w:color="auto" w:fill="FFFFFF"/>
        <w:rPr>
          <w:rFonts w:eastAsia="Times New Roman" w:cstheme="minorHAnsi"/>
          <w:color w:val="333333"/>
          <w:lang w:eastAsia="da-DK"/>
        </w:rPr>
      </w:pPr>
      <w:r w:rsidRPr="00926053">
        <w:rPr>
          <w:rFonts w:eastAsia="Times New Roman" w:cstheme="minorHAnsi"/>
          <w:color w:val="333333"/>
          <w:lang w:eastAsia="da-DK"/>
        </w:rPr>
        <w:t xml:space="preserve">Socialdirektørforum </w:t>
      </w:r>
      <w:r>
        <w:rPr>
          <w:rFonts w:eastAsia="Times New Roman" w:cstheme="minorHAnsi"/>
          <w:color w:val="333333"/>
          <w:lang w:eastAsia="da-DK"/>
        </w:rPr>
        <w:t>besluttede på møde 23. juni 2021</w:t>
      </w:r>
      <w:r w:rsidRPr="00926053">
        <w:rPr>
          <w:rFonts w:eastAsia="Times New Roman" w:cstheme="minorHAnsi"/>
          <w:color w:val="333333"/>
          <w:lang w:eastAsia="da-DK"/>
        </w:rPr>
        <w:t xml:space="preserve"> </w:t>
      </w:r>
      <w:r>
        <w:rPr>
          <w:rFonts w:eastAsia="Times New Roman" w:cstheme="minorHAnsi"/>
          <w:color w:val="333333"/>
          <w:lang w:eastAsia="da-DK"/>
        </w:rPr>
        <w:t xml:space="preserve">at </w:t>
      </w:r>
      <w:r w:rsidRPr="00926053">
        <w:rPr>
          <w:rFonts w:eastAsia="Times New Roman" w:cstheme="minorHAnsi"/>
          <w:color w:val="333333"/>
          <w:lang w:eastAsia="da-DK"/>
        </w:rPr>
        <w:t>bakke</w:t>
      </w:r>
      <w:r>
        <w:rPr>
          <w:rFonts w:eastAsia="Times New Roman" w:cstheme="minorHAnsi"/>
          <w:color w:val="333333"/>
          <w:lang w:eastAsia="da-DK"/>
        </w:rPr>
        <w:t xml:space="preserve"> </w:t>
      </w:r>
      <w:r w:rsidRPr="00926053">
        <w:rPr>
          <w:rFonts w:eastAsia="Times New Roman" w:cstheme="minorHAnsi"/>
          <w:color w:val="333333"/>
          <w:lang w:eastAsia="da-DK"/>
        </w:rPr>
        <w:t xml:space="preserve">op om at tage </w:t>
      </w:r>
      <w:r>
        <w:rPr>
          <w:rFonts w:eastAsia="Times New Roman" w:cstheme="minorHAnsi"/>
          <w:color w:val="333333"/>
          <w:lang w:eastAsia="da-DK"/>
        </w:rPr>
        <w:t>KL-</w:t>
      </w:r>
      <w:proofErr w:type="spellStart"/>
      <w:r w:rsidRPr="00926053">
        <w:rPr>
          <w:rFonts w:eastAsia="Times New Roman" w:cstheme="minorHAnsi"/>
          <w:color w:val="333333"/>
          <w:lang w:eastAsia="da-DK"/>
        </w:rPr>
        <w:t>standardkontrak</w:t>
      </w:r>
      <w:proofErr w:type="spellEnd"/>
      <w:r>
        <w:rPr>
          <w:rFonts w:eastAsia="Times New Roman" w:cstheme="minorHAnsi"/>
          <w:color w:val="333333"/>
          <w:lang w:eastAsia="da-DK"/>
        </w:rPr>
        <w:t>-</w:t>
      </w:r>
      <w:r w:rsidRPr="00926053">
        <w:rPr>
          <w:rFonts w:eastAsia="Times New Roman" w:cstheme="minorHAnsi"/>
          <w:color w:val="333333"/>
          <w:lang w:eastAsia="da-DK"/>
        </w:rPr>
        <w:t>terne i brug.</w:t>
      </w:r>
      <w:r>
        <w:rPr>
          <w:rFonts w:eastAsia="Times New Roman" w:cstheme="minorHAnsi"/>
          <w:color w:val="333333"/>
          <w:lang w:eastAsia="da-DK"/>
        </w:rPr>
        <w:t xml:space="preserve"> H</w:t>
      </w:r>
      <w:r w:rsidRPr="00926053">
        <w:rPr>
          <w:rFonts w:eastAsia="Times New Roman" w:cstheme="minorHAnsi"/>
          <w:color w:val="333333"/>
          <w:lang w:eastAsia="da-DK"/>
        </w:rPr>
        <w:t xml:space="preserve">ver kommune </w:t>
      </w:r>
      <w:r>
        <w:rPr>
          <w:rFonts w:eastAsia="Times New Roman" w:cstheme="minorHAnsi"/>
          <w:color w:val="333333"/>
          <w:lang w:eastAsia="da-DK"/>
        </w:rPr>
        <w:t xml:space="preserve">og Region Syddanmark </w:t>
      </w:r>
      <w:r w:rsidRPr="00926053">
        <w:rPr>
          <w:rFonts w:eastAsia="Times New Roman" w:cstheme="minorHAnsi"/>
          <w:color w:val="333333"/>
          <w:lang w:eastAsia="da-DK"/>
        </w:rPr>
        <w:t>følger sin egen tidsplan i implementeringen, der vil ske over en periode</w:t>
      </w:r>
      <w:r>
        <w:rPr>
          <w:rFonts w:eastAsia="Times New Roman" w:cstheme="minorHAnsi"/>
          <w:color w:val="333333"/>
          <w:lang w:eastAsia="da-DK"/>
        </w:rPr>
        <w:t>. F</w:t>
      </w:r>
      <w:r w:rsidRPr="00926053">
        <w:rPr>
          <w:rFonts w:eastAsia="Times New Roman" w:cstheme="minorHAnsi"/>
          <w:color w:val="333333"/>
          <w:lang w:eastAsia="da-DK"/>
        </w:rPr>
        <w:t xml:space="preserve">or mange kommuners </w:t>
      </w:r>
      <w:r>
        <w:rPr>
          <w:rFonts w:eastAsia="Times New Roman" w:cstheme="minorHAnsi"/>
          <w:color w:val="333333"/>
          <w:lang w:eastAsia="da-DK"/>
        </w:rPr>
        <w:t xml:space="preserve">og Region Syddanmarks </w:t>
      </w:r>
      <w:r w:rsidRPr="00926053">
        <w:rPr>
          <w:rFonts w:eastAsia="Times New Roman" w:cstheme="minorHAnsi"/>
          <w:color w:val="333333"/>
          <w:lang w:eastAsia="da-DK"/>
        </w:rPr>
        <w:t>vedkommende sker implementeringen i forbindelse med indgåelse af nye kontrakter og opfølgning på eksisterende kontrakter.</w:t>
      </w:r>
      <w:r>
        <w:rPr>
          <w:rFonts w:eastAsia="Times New Roman" w:cstheme="minorHAnsi"/>
          <w:color w:val="333333"/>
          <w:lang w:eastAsia="da-DK"/>
        </w:rPr>
        <w:t xml:space="preserve"> </w:t>
      </w:r>
    </w:p>
    <w:p w14:paraId="6A60B44C" w14:textId="77777777" w:rsidR="005C6C02" w:rsidRDefault="005C6C02" w:rsidP="005C6C02">
      <w:pPr>
        <w:rPr>
          <w:rFonts w:cstheme="minorHAnsi"/>
          <w:b/>
          <w:bCs/>
        </w:rPr>
      </w:pPr>
    </w:p>
    <w:p w14:paraId="1AF1A57F" w14:textId="77777777" w:rsidR="005C6C02" w:rsidRDefault="005C6C02" w:rsidP="005C6C02">
      <w:pPr>
        <w:rPr>
          <w:rFonts w:cstheme="minorHAnsi"/>
          <w:b/>
          <w:bCs/>
        </w:rPr>
      </w:pPr>
      <w:r w:rsidRPr="009B354E">
        <w:rPr>
          <w:rFonts w:cstheme="minorHAnsi"/>
          <w:b/>
          <w:bCs/>
        </w:rPr>
        <w:t>Indhold af kontrakter om køb- og salg</w:t>
      </w:r>
      <w:r>
        <w:rPr>
          <w:rFonts w:cstheme="minorHAnsi"/>
          <w:b/>
          <w:bCs/>
        </w:rPr>
        <w:t xml:space="preserve"> af ydelser efter Rammeaftalen</w:t>
      </w:r>
    </w:p>
    <w:p w14:paraId="4366C377" w14:textId="77777777" w:rsidR="005C6C02" w:rsidRDefault="005C6C02" w:rsidP="005C6C02">
      <w:r>
        <w:t>Kommuner, der køber ydelser i andre kommuner eller hos Region Syddanmark, indgår en kontrakt med udbyderen.</w:t>
      </w:r>
    </w:p>
    <w:p w14:paraId="58658D43" w14:textId="77777777" w:rsidR="005C6C02" w:rsidRDefault="005C6C02" w:rsidP="005C6C02"/>
    <w:p w14:paraId="4AE925CC" w14:textId="77777777" w:rsidR="005C6C02" w:rsidRDefault="005C6C02" w:rsidP="005C6C02">
      <w:r>
        <w:t xml:space="preserve">Kontrakten skal indeholde alle nødvendige detailoplysninger til brug for afregningen. Kontrakten skal som minimum omfatte: </w:t>
      </w:r>
    </w:p>
    <w:p w14:paraId="6D5BD082" w14:textId="77777777" w:rsidR="005C6C02" w:rsidRDefault="005C6C02" w:rsidP="005C6C02">
      <w:pPr>
        <w:pStyle w:val="Listeafsnit"/>
        <w:widowControl/>
        <w:numPr>
          <w:ilvl w:val="0"/>
          <w:numId w:val="1"/>
        </w:numPr>
        <w:autoSpaceDE/>
        <w:autoSpaceDN/>
        <w:spacing w:line="259" w:lineRule="auto"/>
        <w:contextualSpacing/>
      </w:pPr>
      <w:r>
        <w:t>Information om hvem der er handlekommune, hvem der er leverandør samt oplysninger om borgeren</w:t>
      </w:r>
    </w:p>
    <w:p w14:paraId="765AFD6A" w14:textId="77777777" w:rsidR="005C6C02" w:rsidRDefault="005C6C02" w:rsidP="005C6C02">
      <w:pPr>
        <w:pStyle w:val="Listeafsnit"/>
        <w:widowControl/>
        <w:numPr>
          <w:ilvl w:val="0"/>
          <w:numId w:val="1"/>
        </w:numPr>
        <w:autoSpaceDE/>
        <w:autoSpaceDN/>
        <w:spacing w:line="259" w:lineRule="auto"/>
        <w:contextualSpacing/>
      </w:pPr>
      <w:r>
        <w:t xml:space="preserve">Oversigt over tilbuddets indhold, herunder hvilken bevillingsparagraf, det indgår i </w:t>
      </w:r>
    </w:p>
    <w:p w14:paraId="1BB8C4D2" w14:textId="77777777" w:rsidR="005C6C02" w:rsidRDefault="005C6C02" w:rsidP="005C6C02">
      <w:pPr>
        <w:pStyle w:val="Listeafsnit"/>
        <w:widowControl/>
        <w:numPr>
          <w:ilvl w:val="0"/>
          <w:numId w:val="1"/>
        </w:numPr>
        <w:autoSpaceDE/>
        <w:autoSpaceDN/>
        <w:spacing w:line="259" w:lineRule="auto"/>
        <w:contextualSpacing/>
      </w:pPr>
      <w:r>
        <w:t xml:space="preserve">Bevillingsomfanget for eventuelle enkeltydelser </w:t>
      </w:r>
    </w:p>
    <w:p w14:paraId="1A6362C4" w14:textId="77777777" w:rsidR="005C6C02" w:rsidRDefault="005C6C02" w:rsidP="005C6C02">
      <w:pPr>
        <w:pStyle w:val="Listeafsnit"/>
        <w:widowControl/>
        <w:numPr>
          <w:ilvl w:val="0"/>
          <w:numId w:val="1"/>
        </w:numPr>
        <w:autoSpaceDE/>
        <w:autoSpaceDN/>
        <w:spacing w:line="259" w:lineRule="auto"/>
        <w:contextualSpacing/>
      </w:pPr>
      <w:r>
        <w:t xml:space="preserve">Startdato og priser for eventuelle enkeltydelser </w:t>
      </w:r>
    </w:p>
    <w:p w14:paraId="71D0AEB3" w14:textId="77777777" w:rsidR="005C6C02" w:rsidRDefault="005C6C02" w:rsidP="005C6C02">
      <w:pPr>
        <w:pStyle w:val="Listeafsnit"/>
        <w:widowControl/>
        <w:numPr>
          <w:ilvl w:val="0"/>
          <w:numId w:val="1"/>
        </w:numPr>
        <w:autoSpaceDE/>
        <w:autoSpaceDN/>
        <w:spacing w:line="259" w:lineRule="auto"/>
        <w:contextualSpacing/>
      </w:pPr>
      <w:r>
        <w:t>Opsigelsesvarsel (</w:t>
      </w:r>
      <w:proofErr w:type="spellStart"/>
      <w:r>
        <w:t>jvf</w:t>
      </w:r>
      <w:proofErr w:type="spellEnd"/>
      <w:r>
        <w:t xml:space="preserve"> bilag 6) </w:t>
      </w:r>
    </w:p>
    <w:p w14:paraId="6DCAFD63" w14:textId="77777777" w:rsidR="005C6C02" w:rsidRDefault="005C6C02" w:rsidP="005C6C02">
      <w:pPr>
        <w:widowControl/>
        <w:autoSpaceDE/>
        <w:autoSpaceDN/>
        <w:spacing w:line="259" w:lineRule="auto"/>
        <w:ind w:left="360"/>
        <w:contextualSpacing/>
      </w:pPr>
    </w:p>
    <w:p w14:paraId="1F67C29E" w14:textId="77777777" w:rsidR="005C6C02" w:rsidRDefault="005C6C02" w:rsidP="005C6C02">
      <w:pPr>
        <w:widowControl/>
        <w:autoSpaceDE/>
        <w:autoSpaceDN/>
        <w:spacing w:line="259" w:lineRule="auto"/>
        <w:contextualSpacing/>
      </w:pPr>
      <w:r>
        <w:t>Køber skal hurtigst muligt og senest 30 dage efter godkende kontrakten eller vende tilbage til driftsherre. Ændringer i et aftalt tilbud skal aftales efter samme retningslinjer.</w:t>
      </w:r>
    </w:p>
    <w:p w14:paraId="6AA1E06B" w14:textId="77777777" w:rsidR="005C6C02" w:rsidRDefault="005C6C02" w:rsidP="005C6C02"/>
    <w:p w14:paraId="5F2B4B7A" w14:textId="77777777" w:rsidR="005C6C02" w:rsidRDefault="005C6C02" w:rsidP="005C6C02">
      <w:r>
        <w:t xml:space="preserve">I de tilfælde, hvor der er anden betalingskommune, skal kommunen afregne efter den indgåede betalingsaftale mellem handlekommune og udbyder. Handlekommunen skal sikre tidlig information til betalingskommunen (i de tilfælde hvor handle- og betalingskommune ikke er den samme) om, hvilke beslutninger der træffes vedrørende ændring af tilbud til borgerne. Betalingsperioden er fra startdato til ophørsdato plus opsigelsesvarsel jf. bilag 6. Flyttes en person fra et ekstraordinært tilbud, hvor der er aftalt en særskilt takst, kan udbyderen af tilbuddet have ekstra omkostninger forbundet med lukning af tilbuddet. Der kan indgås en aftale om betaling for et sådant tilbud ud over den faktiske ophørsdato, hvis udbyderen kan dokumentere omkostninger forbundet med </w:t>
      </w:r>
      <w:r>
        <w:lastRenderedPageBreak/>
        <w:t>lukning af tilbuddet.</w:t>
      </w:r>
    </w:p>
    <w:p w14:paraId="63DF25DA" w14:textId="77777777" w:rsidR="000D5A9B" w:rsidRPr="000D5A9B" w:rsidRDefault="000D5A9B">
      <w:pPr>
        <w:rPr>
          <w:rFonts w:ascii="Verdana" w:hAnsi="Verdana"/>
          <w:sz w:val="20"/>
          <w:szCs w:val="20"/>
        </w:rPr>
      </w:pPr>
    </w:p>
    <w:sectPr w:rsidR="000D5A9B" w:rsidRPr="000D5A9B">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212168"/>
    <w:multiLevelType w:val="hybridMultilevel"/>
    <w:tmpl w:val="7128A192"/>
    <w:lvl w:ilvl="0" w:tplc="4A2E2234">
      <w:numFmt w:val="bullet"/>
      <w:lvlText w:val=""/>
      <w:lvlJc w:val="left"/>
      <w:pPr>
        <w:ind w:left="720" w:hanging="360"/>
      </w:pPr>
      <w:rPr>
        <w:rFonts w:ascii="Symbol" w:eastAsiaTheme="minorHAnsi" w:hAnsi="Symbol"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63515F68"/>
    <w:multiLevelType w:val="hybridMultilevel"/>
    <w:tmpl w:val="58A6387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6C02"/>
    <w:rsid w:val="000D5A9B"/>
    <w:rsid w:val="005C6C0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E4ADE"/>
  <w15:chartTrackingRefBased/>
  <w15:docId w15:val="{A022584B-F4D0-41DF-B0E9-7616604E7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6C02"/>
    <w:pPr>
      <w:widowControl w:val="0"/>
      <w:autoSpaceDE w:val="0"/>
      <w:autoSpaceDN w:val="0"/>
      <w:spacing w:after="0" w:line="240" w:lineRule="auto"/>
    </w:pPr>
    <w:rPr>
      <w:rFonts w:ascii="Arial" w:eastAsia="Arial" w:hAnsi="Arial" w:cs="Arial"/>
    </w:rPr>
  </w:style>
  <w:style w:type="paragraph" w:styleId="Overskrift1">
    <w:name w:val="heading 1"/>
    <w:basedOn w:val="Normal"/>
    <w:link w:val="Overskrift1Tegn"/>
    <w:uiPriority w:val="9"/>
    <w:qFormat/>
    <w:rsid w:val="005C6C02"/>
    <w:pPr>
      <w:ind w:left="332"/>
      <w:outlineLvl w:val="0"/>
    </w:pPr>
    <w:rPr>
      <w:rFonts w:ascii="Cambria" w:eastAsia="Cambria" w:hAnsi="Cambria" w:cs="Cambria"/>
      <w:sz w:val="36"/>
      <w:szCs w:val="3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5C6C02"/>
    <w:rPr>
      <w:rFonts w:ascii="Cambria" w:eastAsia="Cambria" w:hAnsi="Cambria" w:cs="Cambria"/>
      <w:sz w:val="36"/>
      <w:szCs w:val="36"/>
    </w:rPr>
  </w:style>
  <w:style w:type="paragraph" w:styleId="Brdtekst">
    <w:name w:val="Body Text"/>
    <w:basedOn w:val="Normal"/>
    <w:link w:val="BrdtekstTegn"/>
    <w:uiPriority w:val="1"/>
    <w:qFormat/>
    <w:rsid w:val="005C6C02"/>
    <w:rPr>
      <w:sz w:val="21"/>
      <w:szCs w:val="21"/>
    </w:rPr>
  </w:style>
  <w:style w:type="character" w:customStyle="1" w:styleId="BrdtekstTegn">
    <w:name w:val="Brødtekst Tegn"/>
    <w:basedOn w:val="Standardskrifttypeiafsnit"/>
    <w:link w:val="Brdtekst"/>
    <w:uiPriority w:val="1"/>
    <w:rsid w:val="005C6C02"/>
    <w:rPr>
      <w:rFonts w:ascii="Arial" w:eastAsia="Arial" w:hAnsi="Arial" w:cs="Arial"/>
      <w:sz w:val="21"/>
      <w:szCs w:val="21"/>
    </w:rPr>
  </w:style>
  <w:style w:type="paragraph" w:styleId="Listeafsnit">
    <w:name w:val="List Paragraph"/>
    <w:basedOn w:val="Normal"/>
    <w:uiPriority w:val="34"/>
    <w:qFormat/>
    <w:rsid w:val="005C6C02"/>
    <w:pPr>
      <w:ind w:left="1052" w:hanging="36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427</Words>
  <Characters>2606</Characters>
  <Application>Microsoft Office Word</Application>
  <DocSecurity>0</DocSecurity>
  <Lines>21</Lines>
  <Paragraphs>6</Paragraphs>
  <ScaleCrop>false</ScaleCrop>
  <Company>Middelfart Kommune</Company>
  <LinksUpToDate>false</LinksUpToDate>
  <CharactersWithSpaces>3027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Kryger</dc:creator>
  <cp:keywords/>
  <dc:description/>
  <cp:lastModifiedBy>Nina Kryger</cp:lastModifiedBy>
  <cp:revision>1</cp:revision>
  <dcterms:created xsi:type="dcterms:W3CDTF">2022-12-19T08:36:00Z</dcterms:created>
  <dcterms:modified xsi:type="dcterms:W3CDTF">2022-12-19T08:39:00Z</dcterms:modified>
</cp:coreProperties>
</file>