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263E" w14:textId="77777777" w:rsidR="00953589" w:rsidRPr="00B355B0" w:rsidRDefault="00953589" w:rsidP="00953589">
      <w:pPr>
        <w:pStyle w:val="Overskrift1"/>
        <w:ind w:left="0"/>
        <w:rPr>
          <w:color w:val="C45911" w:themeColor="accent2" w:themeShade="BF"/>
        </w:rPr>
      </w:pPr>
      <w:bookmarkStart w:id="0" w:name="_Toc104897243"/>
      <w:r w:rsidRPr="00B355B0">
        <w:rPr>
          <w:color w:val="C45911" w:themeColor="accent2" w:themeShade="BF"/>
        </w:rPr>
        <w:t xml:space="preserve">Bilag 4: Ændring af kapacitet i </w:t>
      </w:r>
      <w:r w:rsidRPr="754EECF7">
        <w:rPr>
          <w:color w:val="C45911" w:themeColor="accent2" w:themeShade="BF"/>
        </w:rPr>
        <w:t>Rammeaftaleperioden</w:t>
      </w:r>
      <w:r w:rsidRPr="00B355B0">
        <w:rPr>
          <w:color w:val="C45911" w:themeColor="accent2" w:themeShade="BF"/>
        </w:rPr>
        <w:t xml:space="preserve"> og mellem </w:t>
      </w:r>
      <w:r w:rsidRPr="754EECF7">
        <w:rPr>
          <w:color w:val="C45911" w:themeColor="accent2" w:themeShade="BF"/>
        </w:rPr>
        <w:t>Rammeaftaleperioder</w:t>
      </w:r>
      <w:bookmarkEnd w:id="0"/>
    </w:p>
    <w:p w14:paraId="269BDBBC" w14:textId="77777777" w:rsidR="00953589" w:rsidRPr="00A309E6" w:rsidRDefault="00953589" w:rsidP="00953589">
      <w:pPr>
        <w:pStyle w:val="Brdtekst"/>
        <w:spacing w:before="1"/>
        <w:rPr>
          <w:rFonts w:ascii="Cambria"/>
          <w:sz w:val="34"/>
        </w:rPr>
      </w:pPr>
    </w:p>
    <w:p w14:paraId="44499283" w14:textId="77777777" w:rsidR="00953589" w:rsidRDefault="00953589" w:rsidP="00953589">
      <w:pPr>
        <w:pStyle w:val="Brdtekst"/>
      </w:pPr>
      <w:r>
        <w:t>K</w:t>
      </w:r>
      <w:r w:rsidRPr="00A309E6">
        <w:t xml:space="preserve">ommunerne </w:t>
      </w:r>
      <w:r>
        <w:t xml:space="preserve">kan </w:t>
      </w:r>
      <w:r w:rsidRPr="00A309E6">
        <w:t>frit op</w:t>
      </w:r>
      <w:r>
        <w:t xml:space="preserve">rette tilbud og pladser samt </w:t>
      </w:r>
      <w:r w:rsidRPr="00A309E6">
        <w:t xml:space="preserve">indgå aftaler med andre kommuner omkring forholdene ved oprettelsen, se </w:t>
      </w:r>
      <w:r>
        <w:t>nedenstående tabel 4.1</w:t>
      </w:r>
      <w:r w:rsidRPr="00A309E6">
        <w:t xml:space="preserve"> ift. proces ved ændringer af kapacitet. Der bør ved oprettelse af nye tilbud og pladser</w:t>
      </w:r>
      <w:r>
        <w:t xml:space="preserve"> tages højde for </w:t>
      </w:r>
      <w:r w:rsidRPr="00A309E6">
        <w:t>det samlede antal tilbud og pladser i Syddanmark indenfor den pågældende målgruppe.</w:t>
      </w:r>
    </w:p>
    <w:p w14:paraId="558695E9" w14:textId="77777777" w:rsidR="00953589" w:rsidRDefault="00953589" w:rsidP="00953589">
      <w:pPr>
        <w:pStyle w:val="Brdtekst"/>
      </w:pPr>
    </w:p>
    <w:p w14:paraId="2732022F" w14:textId="77777777" w:rsidR="00953589" w:rsidRPr="00F86A9B" w:rsidRDefault="00953589" w:rsidP="00953589">
      <w:pPr>
        <w:pStyle w:val="Brdtekst"/>
      </w:pPr>
      <w:r w:rsidRPr="7C809C24">
        <w:t>Alle nye regionale tilbud skal, uanset hvad der fremgår af tabel 4.1, godkendes i</w:t>
      </w:r>
      <w:r>
        <w:t xml:space="preserve"> </w:t>
      </w:r>
      <w:r w:rsidRPr="7C809C24">
        <w:t xml:space="preserve">Socialdirektørforum. </w:t>
      </w:r>
    </w:p>
    <w:p w14:paraId="448A8630" w14:textId="77777777" w:rsidR="00953589" w:rsidRPr="00F86A9B" w:rsidRDefault="00953589" w:rsidP="00953589">
      <w:pPr>
        <w:pStyle w:val="Brdtekst"/>
        <w:rPr>
          <w:sz w:val="23"/>
          <w:szCs w:val="23"/>
        </w:rPr>
      </w:pPr>
    </w:p>
    <w:p w14:paraId="114AB35C" w14:textId="77777777" w:rsidR="00953589" w:rsidRPr="00207FD2" w:rsidRDefault="00953589" w:rsidP="00953589">
      <w:pPr>
        <w:pStyle w:val="Brdtekst"/>
      </w:pPr>
      <w:r w:rsidRPr="00207FD2">
        <w:t xml:space="preserve">Antal faste pladser, der er indberettet til </w:t>
      </w:r>
      <w:r w:rsidRPr="754EECF7">
        <w:t>Rammeaftalen</w:t>
      </w:r>
      <w:r w:rsidRPr="00207FD2">
        <w:t xml:space="preserve"> gælder som udgangspunkt i hele </w:t>
      </w:r>
      <w:r>
        <w:t xml:space="preserve">aftaleperioden. </w:t>
      </w:r>
      <w:r w:rsidRPr="00207FD2">
        <w:t>Ændringer foretages som udgangspunkt</w:t>
      </w:r>
      <w:r>
        <w:t xml:space="preserve"> kun</w:t>
      </w:r>
      <w:r w:rsidRPr="00207FD2">
        <w:t xml:space="preserve"> ifm. ændringer i efterspørgslen. Det forudsættes, at driftsherre løbende tilpasser driften til belægningsprocenten. Nedenstående proces er derfor udelukkende, hvis driftsherre ser et behov for en varig ændring. Hvis driftsherren ser et behov for en varig ændring, kan driftsherren med det samme foretage en midlertidig opnormering eller nednormering.</w:t>
      </w:r>
    </w:p>
    <w:p w14:paraId="79CF94AE" w14:textId="77777777" w:rsidR="00953589" w:rsidRDefault="00953589" w:rsidP="00953589">
      <w:pPr>
        <w:pStyle w:val="Brdtekst"/>
      </w:pPr>
    </w:p>
    <w:p w14:paraId="2B87C342" w14:textId="77777777" w:rsidR="00953589" w:rsidRDefault="00953589" w:rsidP="00953589">
      <w:pPr>
        <w:pStyle w:val="Brdtekst"/>
      </w:pPr>
      <w:r>
        <w:t>Reglerne for ændringer i kapaciteten gælder også mellem to rammeaftaleperioder. Ændringerne skal indberettes senest ifm. den politiske behandling i kommunerne – dog senest 3 måneder før, ændringerne konkret sker, jf. tabel 4.1.</w:t>
      </w:r>
    </w:p>
    <w:p w14:paraId="125A921F" w14:textId="77777777" w:rsidR="00953589" w:rsidRDefault="00953589" w:rsidP="00953589">
      <w:pPr>
        <w:rPr>
          <w:b/>
          <w:bCs/>
          <w:sz w:val="21"/>
          <w:szCs w:val="21"/>
        </w:rPr>
      </w:pPr>
    </w:p>
    <w:p w14:paraId="37A46C41" w14:textId="77777777" w:rsidR="00953589" w:rsidRPr="00A309E6" w:rsidRDefault="00953589" w:rsidP="00953589">
      <w:pPr>
        <w:pStyle w:val="Overskrift2"/>
        <w:spacing w:before="159"/>
        <w:ind w:left="0"/>
      </w:pPr>
      <w:r>
        <w:t xml:space="preserve">Tabel 4.1: </w:t>
      </w:r>
      <w:r w:rsidRPr="00A309E6">
        <w:t xml:space="preserve">Proces for </w:t>
      </w:r>
      <w:r>
        <w:t xml:space="preserve">ændring af kapacitet i </w:t>
      </w:r>
      <w:r w:rsidRPr="754EECF7">
        <w:t>rammeaftaleperioden</w:t>
      </w:r>
      <w:r>
        <w:t xml:space="preserve"> og mellem </w:t>
      </w:r>
      <w:r w:rsidRPr="754EECF7">
        <w:t>rammeaftaleperioder</w:t>
      </w:r>
    </w:p>
    <w:p w14:paraId="39D9CDE9" w14:textId="77777777" w:rsidR="00953589" w:rsidRDefault="00953589" w:rsidP="00953589">
      <w:pPr>
        <w:pStyle w:val="Brdtekst"/>
        <w:spacing w:before="6"/>
        <w:rPr>
          <w:b/>
          <w:sz w:val="14"/>
        </w:rPr>
      </w:pPr>
    </w:p>
    <w:p w14:paraId="73BD2461" w14:textId="77777777" w:rsidR="00953589" w:rsidRPr="00A309E6" w:rsidRDefault="00953589" w:rsidP="00953589">
      <w:pPr>
        <w:pStyle w:val="Brdtekst"/>
        <w:spacing w:before="6"/>
        <w:rPr>
          <w:b/>
          <w:sz w:val="14"/>
        </w:rPr>
      </w:pPr>
    </w:p>
    <w:tbl>
      <w:tblPr>
        <w:tblStyle w:val="NormalTable0"/>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686"/>
        <w:gridCol w:w="4394"/>
      </w:tblGrid>
      <w:tr w:rsidR="00953589" w14:paraId="73282CFA" w14:textId="77777777" w:rsidTr="00601BC3">
        <w:trPr>
          <w:trHeight w:val="918"/>
        </w:trPr>
        <w:tc>
          <w:tcPr>
            <w:tcW w:w="1843" w:type="dxa"/>
            <w:shd w:val="clear" w:color="auto" w:fill="DADADA"/>
          </w:tcPr>
          <w:p w14:paraId="3A299B0B" w14:textId="77777777" w:rsidR="00953589" w:rsidRDefault="00953589" w:rsidP="00601BC3">
            <w:pPr>
              <w:pStyle w:val="TableParagraph"/>
              <w:spacing w:line="225" w:lineRule="exact"/>
              <w:ind w:left="107"/>
              <w:rPr>
                <w:b/>
                <w:sz w:val="20"/>
              </w:rPr>
            </w:pPr>
            <w:proofErr w:type="spellStart"/>
            <w:r>
              <w:rPr>
                <w:b/>
                <w:sz w:val="20"/>
              </w:rPr>
              <w:t>Ændring</w:t>
            </w:r>
            <w:proofErr w:type="spellEnd"/>
          </w:p>
        </w:tc>
        <w:tc>
          <w:tcPr>
            <w:tcW w:w="3686" w:type="dxa"/>
            <w:shd w:val="clear" w:color="auto" w:fill="DADADA"/>
          </w:tcPr>
          <w:p w14:paraId="692DCDEF" w14:textId="77777777" w:rsidR="00953589" w:rsidRPr="00953589" w:rsidRDefault="00953589" w:rsidP="00601BC3">
            <w:pPr>
              <w:pStyle w:val="TableParagraph"/>
              <w:ind w:left="107"/>
              <w:rPr>
                <w:b/>
                <w:sz w:val="20"/>
                <w:lang w:val="da-DK"/>
              </w:rPr>
            </w:pPr>
            <w:r w:rsidRPr="00953589">
              <w:rPr>
                <w:b/>
                <w:sz w:val="20"/>
                <w:lang w:val="da-DK"/>
              </w:rPr>
              <w:t>Proces før varige ændringer kan træde i kraft</w:t>
            </w:r>
          </w:p>
        </w:tc>
        <w:tc>
          <w:tcPr>
            <w:tcW w:w="4394" w:type="dxa"/>
            <w:shd w:val="clear" w:color="auto" w:fill="DADADA"/>
          </w:tcPr>
          <w:p w14:paraId="1D423AF8" w14:textId="77777777" w:rsidR="00953589" w:rsidRPr="00953589" w:rsidRDefault="00953589" w:rsidP="00601BC3">
            <w:pPr>
              <w:pStyle w:val="TableParagraph"/>
              <w:spacing w:line="225" w:lineRule="exact"/>
              <w:ind w:left="108"/>
              <w:rPr>
                <w:b/>
                <w:sz w:val="20"/>
                <w:lang w:val="da-DK"/>
              </w:rPr>
            </w:pPr>
            <w:r w:rsidRPr="00953589">
              <w:rPr>
                <w:b/>
                <w:sz w:val="20"/>
                <w:lang w:val="da-DK"/>
              </w:rPr>
              <w:t>Begrundelser</w:t>
            </w:r>
          </w:p>
          <w:p w14:paraId="10DCFA36" w14:textId="77777777" w:rsidR="00953589" w:rsidRDefault="00953589" w:rsidP="00601BC3">
            <w:pPr>
              <w:pStyle w:val="TableParagraph"/>
              <w:spacing w:before="3"/>
              <w:ind w:left="108"/>
              <w:rPr>
                <w:sz w:val="20"/>
              </w:rPr>
            </w:pPr>
            <w:r w:rsidRPr="00953589">
              <w:rPr>
                <w:sz w:val="20"/>
                <w:lang w:val="da-DK"/>
              </w:rPr>
              <w:t xml:space="preserve">(Skabelon til formålet, kan findes på </w:t>
            </w:r>
            <w:hyperlink r:id="rId6">
              <w:r w:rsidRPr="00953589">
                <w:rPr>
                  <w:color w:val="8E58B5"/>
                  <w:sz w:val="20"/>
                  <w:u w:val="single" w:color="8E58B5"/>
                  <w:lang w:val="da-DK"/>
                </w:rPr>
                <w:t>www.socialsekretariatet.dk</w:t>
              </w:r>
              <w:r w:rsidRPr="00953589">
                <w:rPr>
                  <w:sz w:val="20"/>
                  <w:lang w:val="da-DK"/>
                </w:rPr>
                <w:t xml:space="preserve">. </w:t>
              </w:r>
            </w:hyperlink>
            <w:proofErr w:type="spellStart"/>
            <w:r>
              <w:rPr>
                <w:sz w:val="20"/>
              </w:rPr>
              <w:t>Skabelonen</w:t>
            </w:r>
            <w:proofErr w:type="spellEnd"/>
          </w:p>
          <w:p w14:paraId="0877B35A" w14:textId="77777777" w:rsidR="00953589" w:rsidRDefault="00953589" w:rsidP="00601BC3">
            <w:pPr>
              <w:pStyle w:val="TableParagraph"/>
              <w:spacing w:line="211" w:lineRule="exact"/>
              <w:ind w:left="108"/>
              <w:rPr>
                <w:sz w:val="20"/>
              </w:rPr>
            </w:pPr>
            <w:proofErr w:type="spellStart"/>
            <w:r>
              <w:rPr>
                <w:sz w:val="20"/>
              </w:rPr>
              <w:t>sendes</w:t>
            </w:r>
            <w:proofErr w:type="spellEnd"/>
            <w:r>
              <w:rPr>
                <w:sz w:val="20"/>
              </w:rPr>
              <w:t xml:space="preserve"> </w:t>
            </w:r>
            <w:proofErr w:type="spellStart"/>
            <w:r>
              <w:rPr>
                <w:sz w:val="20"/>
              </w:rPr>
              <w:t>til</w:t>
            </w:r>
            <w:proofErr w:type="spellEnd"/>
            <w:r>
              <w:rPr>
                <w:sz w:val="20"/>
              </w:rPr>
              <w:t xml:space="preserve"> de </w:t>
            </w:r>
            <w:proofErr w:type="spellStart"/>
            <w:r>
              <w:rPr>
                <w:sz w:val="20"/>
              </w:rPr>
              <w:t>angivne</w:t>
            </w:r>
            <w:proofErr w:type="spellEnd"/>
            <w:r>
              <w:rPr>
                <w:sz w:val="20"/>
              </w:rPr>
              <w:t xml:space="preserve"> </w:t>
            </w:r>
            <w:proofErr w:type="spellStart"/>
            <w:r>
              <w:rPr>
                <w:sz w:val="20"/>
              </w:rPr>
              <w:t>kontaktpersoner</w:t>
            </w:r>
            <w:proofErr w:type="spellEnd"/>
            <w:r>
              <w:rPr>
                <w:sz w:val="20"/>
              </w:rPr>
              <w:t>.)</w:t>
            </w:r>
          </w:p>
        </w:tc>
      </w:tr>
      <w:tr w:rsidR="00953589" w:rsidRPr="00A1675D" w14:paraId="3E486DDE" w14:textId="77777777" w:rsidTr="00601BC3">
        <w:trPr>
          <w:trHeight w:val="918"/>
        </w:trPr>
        <w:tc>
          <w:tcPr>
            <w:tcW w:w="1843" w:type="dxa"/>
            <w:shd w:val="clear" w:color="auto" w:fill="auto"/>
          </w:tcPr>
          <w:p w14:paraId="6752763E" w14:textId="77777777" w:rsidR="00953589" w:rsidRDefault="00953589" w:rsidP="00601BC3">
            <w:pPr>
              <w:pStyle w:val="TableParagraph"/>
              <w:spacing w:line="225" w:lineRule="exact"/>
              <w:ind w:left="107"/>
              <w:rPr>
                <w:b/>
                <w:sz w:val="20"/>
              </w:rPr>
            </w:pPr>
            <w:proofErr w:type="spellStart"/>
            <w:r>
              <w:rPr>
                <w:b/>
                <w:sz w:val="20"/>
              </w:rPr>
              <w:t>Mindre</w:t>
            </w:r>
            <w:proofErr w:type="spellEnd"/>
            <w:r>
              <w:rPr>
                <w:b/>
                <w:sz w:val="20"/>
              </w:rPr>
              <w:t xml:space="preserve"> </w:t>
            </w:r>
            <w:proofErr w:type="spellStart"/>
            <w:r>
              <w:rPr>
                <w:b/>
                <w:sz w:val="20"/>
              </w:rPr>
              <w:t>ændringer</w:t>
            </w:r>
            <w:proofErr w:type="spellEnd"/>
            <w:r>
              <w:rPr>
                <w:b/>
                <w:sz w:val="20"/>
              </w:rPr>
              <w:t xml:space="preserve"> I </w:t>
            </w:r>
            <w:proofErr w:type="spellStart"/>
            <w:r>
              <w:rPr>
                <w:b/>
                <w:sz w:val="20"/>
              </w:rPr>
              <w:t>pladsantallet</w:t>
            </w:r>
            <w:proofErr w:type="spellEnd"/>
          </w:p>
        </w:tc>
        <w:tc>
          <w:tcPr>
            <w:tcW w:w="3686" w:type="dxa"/>
            <w:shd w:val="clear" w:color="auto" w:fill="auto"/>
          </w:tcPr>
          <w:p w14:paraId="618F1970" w14:textId="77777777" w:rsidR="00953589" w:rsidRPr="00953589" w:rsidRDefault="00953589" w:rsidP="00601BC3">
            <w:pPr>
              <w:pStyle w:val="TableParagraph"/>
              <w:ind w:left="107"/>
              <w:rPr>
                <w:sz w:val="20"/>
                <w:lang w:val="da-DK"/>
              </w:rPr>
            </w:pPr>
            <w:r w:rsidRPr="00953589">
              <w:rPr>
                <w:sz w:val="20"/>
                <w:lang w:val="da-DK"/>
              </w:rPr>
              <w:t>Tilbud op til 50 pladser kan frit op- og nedjustere op til 5 pladser.</w:t>
            </w:r>
          </w:p>
          <w:p w14:paraId="49CFD3A0" w14:textId="77777777" w:rsidR="00953589" w:rsidRPr="00953589" w:rsidRDefault="00953589" w:rsidP="00601BC3">
            <w:pPr>
              <w:pStyle w:val="TableParagraph"/>
              <w:ind w:left="107"/>
              <w:rPr>
                <w:b/>
                <w:sz w:val="20"/>
                <w:lang w:val="da-DK"/>
              </w:rPr>
            </w:pPr>
            <w:r w:rsidRPr="00953589">
              <w:rPr>
                <w:sz w:val="20"/>
                <w:lang w:val="da-DK"/>
              </w:rPr>
              <w:t>For tilbud over 50 pladser gælder +/- 10 %.</w:t>
            </w:r>
            <w:r>
              <w:rPr>
                <w:rStyle w:val="Fodnotehenvisning"/>
                <w:sz w:val="20"/>
              </w:rPr>
              <w:footnoteReference w:id="1"/>
            </w:r>
          </w:p>
        </w:tc>
        <w:tc>
          <w:tcPr>
            <w:tcW w:w="4394" w:type="dxa"/>
            <w:shd w:val="clear" w:color="auto" w:fill="808080" w:themeFill="background1" w:themeFillShade="80"/>
          </w:tcPr>
          <w:p w14:paraId="44F67738" w14:textId="77777777" w:rsidR="00953589" w:rsidRPr="00953589" w:rsidRDefault="00953589" w:rsidP="00601BC3">
            <w:pPr>
              <w:pStyle w:val="TableParagraph"/>
              <w:spacing w:line="225" w:lineRule="exact"/>
              <w:ind w:left="108"/>
              <w:rPr>
                <w:b/>
                <w:sz w:val="20"/>
                <w:lang w:val="da-DK"/>
              </w:rPr>
            </w:pPr>
          </w:p>
        </w:tc>
      </w:tr>
      <w:tr w:rsidR="00953589" w:rsidRPr="00A1675D" w14:paraId="44369D66" w14:textId="77777777" w:rsidTr="00601BC3">
        <w:trPr>
          <w:trHeight w:val="2061"/>
        </w:trPr>
        <w:tc>
          <w:tcPr>
            <w:tcW w:w="1843" w:type="dxa"/>
          </w:tcPr>
          <w:p w14:paraId="7BABC545" w14:textId="77777777" w:rsidR="00953589" w:rsidRPr="001E3BA0" w:rsidRDefault="00953589" w:rsidP="00601BC3">
            <w:pPr>
              <w:pStyle w:val="TableParagraph"/>
              <w:ind w:left="107"/>
              <w:rPr>
                <w:b/>
                <w:sz w:val="20"/>
              </w:rPr>
            </w:pPr>
            <w:bookmarkStart w:id="1" w:name="_Hlk24874095"/>
            <w:proofErr w:type="spellStart"/>
            <w:r w:rsidRPr="001E3BA0">
              <w:rPr>
                <w:b/>
                <w:sz w:val="20"/>
              </w:rPr>
              <w:t>Oprettelse</w:t>
            </w:r>
            <w:proofErr w:type="spellEnd"/>
            <w:r w:rsidRPr="001E3BA0">
              <w:rPr>
                <w:b/>
                <w:sz w:val="20"/>
              </w:rPr>
              <w:t xml:space="preserve"> </w:t>
            </w:r>
            <w:proofErr w:type="spellStart"/>
            <w:r w:rsidRPr="001E3BA0">
              <w:rPr>
                <w:b/>
                <w:sz w:val="20"/>
              </w:rPr>
              <w:t>af</w:t>
            </w:r>
            <w:proofErr w:type="spellEnd"/>
            <w:r w:rsidRPr="001E3BA0">
              <w:rPr>
                <w:b/>
                <w:sz w:val="20"/>
              </w:rPr>
              <w:t xml:space="preserve"> </w:t>
            </w:r>
            <w:proofErr w:type="spellStart"/>
            <w:r w:rsidRPr="001E3BA0">
              <w:rPr>
                <w:b/>
                <w:sz w:val="20"/>
              </w:rPr>
              <w:t>pladser</w:t>
            </w:r>
            <w:proofErr w:type="spellEnd"/>
            <w:r w:rsidRPr="001E3BA0">
              <w:rPr>
                <w:b/>
                <w:sz w:val="20"/>
              </w:rPr>
              <w:t xml:space="preserve"> </w:t>
            </w:r>
            <w:proofErr w:type="spellStart"/>
            <w:r w:rsidRPr="001E3BA0">
              <w:rPr>
                <w:b/>
                <w:sz w:val="20"/>
              </w:rPr>
              <w:t>d</w:t>
            </w:r>
            <w:r>
              <w:rPr>
                <w:b/>
                <w:sz w:val="20"/>
              </w:rPr>
              <w:t>erudover</w:t>
            </w:r>
            <w:proofErr w:type="spellEnd"/>
          </w:p>
        </w:tc>
        <w:tc>
          <w:tcPr>
            <w:tcW w:w="3686" w:type="dxa"/>
          </w:tcPr>
          <w:p w14:paraId="07BBF04A" w14:textId="77777777" w:rsidR="00953589" w:rsidRPr="00953589" w:rsidRDefault="00953589" w:rsidP="00601BC3">
            <w:pPr>
              <w:pStyle w:val="TableParagraph"/>
              <w:tabs>
                <w:tab w:val="left" w:pos="231"/>
              </w:tabs>
              <w:rPr>
                <w:sz w:val="20"/>
                <w:lang w:val="da-DK"/>
              </w:rPr>
            </w:pPr>
            <w:r w:rsidRPr="00953589">
              <w:rPr>
                <w:sz w:val="20"/>
                <w:lang w:val="da-DK"/>
              </w:rPr>
              <w:t>Udtalelse hos</w:t>
            </w:r>
            <w:r w:rsidRPr="00953589">
              <w:rPr>
                <w:spacing w:val="-4"/>
                <w:sz w:val="20"/>
                <w:lang w:val="da-DK"/>
              </w:rPr>
              <w:t xml:space="preserve"> S</w:t>
            </w:r>
            <w:r w:rsidRPr="00953589">
              <w:rPr>
                <w:sz w:val="20"/>
                <w:lang w:val="da-DK"/>
              </w:rPr>
              <w:t>ocialdirektørforum.</w:t>
            </w:r>
          </w:p>
          <w:p w14:paraId="4FFE030D" w14:textId="77777777" w:rsidR="00953589" w:rsidRPr="00953589" w:rsidRDefault="00953589" w:rsidP="00601BC3">
            <w:pPr>
              <w:pStyle w:val="TableParagraph"/>
              <w:tabs>
                <w:tab w:val="left" w:pos="231"/>
              </w:tabs>
              <w:rPr>
                <w:sz w:val="20"/>
                <w:lang w:val="da-DK"/>
              </w:rPr>
            </w:pPr>
          </w:p>
          <w:p w14:paraId="5EC7DE17" w14:textId="77777777" w:rsidR="00953589" w:rsidRPr="00953589" w:rsidRDefault="00953589" w:rsidP="00601BC3">
            <w:pPr>
              <w:pStyle w:val="TableParagraph"/>
              <w:tabs>
                <w:tab w:val="left" w:pos="231"/>
              </w:tabs>
              <w:rPr>
                <w:sz w:val="20"/>
                <w:lang w:val="da-DK"/>
              </w:rPr>
            </w:pPr>
            <w:r w:rsidRPr="00953589">
              <w:rPr>
                <w:sz w:val="20"/>
                <w:lang w:val="da-DK"/>
              </w:rPr>
              <w:t>Meddeles alle kommuner i Syddanmark og eventuelle</w:t>
            </w:r>
            <w:r w:rsidRPr="00953589">
              <w:rPr>
                <w:spacing w:val="-15"/>
                <w:sz w:val="20"/>
                <w:lang w:val="da-DK"/>
              </w:rPr>
              <w:t xml:space="preserve"> </w:t>
            </w:r>
            <w:r w:rsidRPr="00953589">
              <w:rPr>
                <w:sz w:val="20"/>
                <w:lang w:val="da-DK"/>
              </w:rPr>
              <w:t>andre brugerkommuner.</w:t>
            </w:r>
          </w:p>
          <w:p w14:paraId="34A0066D" w14:textId="77777777" w:rsidR="00953589" w:rsidRPr="00953589" w:rsidRDefault="00953589" w:rsidP="00601BC3">
            <w:pPr>
              <w:pStyle w:val="TableParagraph"/>
              <w:spacing w:before="6" w:line="228" w:lineRule="exact"/>
              <w:rPr>
                <w:sz w:val="20"/>
                <w:lang w:val="da-DK"/>
              </w:rPr>
            </w:pPr>
          </w:p>
        </w:tc>
        <w:tc>
          <w:tcPr>
            <w:tcW w:w="4394" w:type="dxa"/>
          </w:tcPr>
          <w:p w14:paraId="7A2356EA" w14:textId="77777777" w:rsidR="00953589" w:rsidRPr="00953589" w:rsidRDefault="00953589" w:rsidP="00601BC3">
            <w:pPr>
              <w:pStyle w:val="TableParagraph"/>
              <w:ind w:left="108"/>
              <w:rPr>
                <w:sz w:val="20"/>
                <w:lang w:val="da-DK"/>
              </w:rPr>
            </w:pPr>
            <w:r w:rsidRPr="00953589">
              <w:rPr>
                <w:sz w:val="20"/>
                <w:lang w:val="da-DK"/>
              </w:rPr>
              <w:t xml:space="preserve">Udvidelsen begrundes, og der skal gøres rede for, hvordan taksten påvirkes samt de økonomiske konsekvenser for betalingskommunerne. </w:t>
            </w:r>
          </w:p>
          <w:p w14:paraId="38CA4E9D" w14:textId="77777777" w:rsidR="00953589" w:rsidRPr="00953589" w:rsidRDefault="00953589" w:rsidP="00601BC3">
            <w:pPr>
              <w:pStyle w:val="TableParagraph"/>
              <w:spacing w:before="240"/>
              <w:ind w:left="108"/>
              <w:rPr>
                <w:sz w:val="20"/>
                <w:lang w:val="da-DK"/>
              </w:rPr>
            </w:pPr>
            <w:r w:rsidRPr="00953589">
              <w:rPr>
                <w:sz w:val="20"/>
                <w:lang w:val="da-DK"/>
              </w:rPr>
              <w:t>Endvidere skal der redegøres for, hvordan oprettelsen af disse pladser forventes at påvirke efterspørgslen efter eksisterende pladser i andre kommuner og i regionen.</w:t>
            </w:r>
          </w:p>
        </w:tc>
      </w:tr>
      <w:bookmarkEnd w:id="1"/>
      <w:tr w:rsidR="00953589" w:rsidRPr="00A1675D" w14:paraId="42214D52" w14:textId="77777777" w:rsidTr="00601BC3">
        <w:trPr>
          <w:trHeight w:val="1382"/>
        </w:trPr>
        <w:tc>
          <w:tcPr>
            <w:tcW w:w="1843" w:type="dxa"/>
          </w:tcPr>
          <w:p w14:paraId="7E412D04" w14:textId="77777777" w:rsidR="00953589" w:rsidRPr="00953589" w:rsidRDefault="00953589" w:rsidP="00601BC3">
            <w:pPr>
              <w:pStyle w:val="TableParagraph"/>
              <w:ind w:left="107"/>
              <w:rPr>
                <w:b/>
                <w:sz w:val="20"/>
                <w:lang w:val="da-DK"/>
              </w:rPr>
            </w:pPr>
            <w:r w:rsidRPr="00953589">
              <w:rPr>
                <w:b/>
                <w:sz w:val="20"/>
                <w:lang w:val="da-DK"/>
              </w:rPr>
              <w:t>Nedlæggelse af pladser derudover</w:t>
            </w:r>
          </w:p>
          <w:p w14:paraId="2568DFED" w14:textId="77777777" w:rsidR="00953589" w:rsidRPr="00953589" w:rsidRDefault="00953589" w:rsidP="00601BC3">
            <w:pPr>
              <w:pStyle w:val="TableParagraph"/>
              <w:spacing w:before="240" w:line="230" w:lineRule="atLeast"/>
              <w:ind w:left="107"/>
              <w:rPr>
                <w:sz w:val="20"/>
                <w:lang w:val="da-DK"/>
              </w:rPr>
            </w:pPr>
            <w:r w:rsidRPr="00953589">
              <w:rPr>
                <w:sz w:val="20"/>
                <w:lang w:val="da-DK"/>
              </w:rPr>
              <w:t>(ikke ved midlertidig omlægning af en plads til f.eks. et enkeltmands- projekt)</w:t>
            </w:r>
          </w:p>
        </w:tc>
        <w:tc>
          <w:tcPr>
            <w:tcW w:w="3686" w:type="dxa"/>
          </w:tcPr>
          <w:p w14:paraId="4363491C" w14:textId="77777777" w:rsidR="00953589" w:rsidRPr="00953589" w:rsidRDefault="00953589" w:rsidP="00601BC3">
            <w:pPr>
              <w:pStyle w:val="TableParagraph"/>
              <w:tabs>
                <w:tab w:val="left" w:pos="231"/>
              </w:tabs>
              <w:rPr>
                <w:sz w:val="20"/>
                <w:lang w:val="da-DK"/>
              </w:rPr>
            </w:pPr>
            <w:r w:rsidRPr="00953589">
              <w:rPr>
                <w:spacing w:val="-4"/>
                <w:sz w:val="20"/>
                <w:lang w:val="da-DK"/>
              </w:rPr>
              <w:t>Forretningsudvalget orienteres</w:t>
            </w:r>
          </w:p>
          <w:p w14:paraId="52F891FC" w14:textId="77777777" w:rsidR="00953589" w:rsidRPr="00953589" w:rsidRDefault="00953589" w:rsidP="00601BC3">
            <w:pPr>
              <w:pStyle w:val="TableParagraph"/>
              <w:tabs>
                <w:tab w:val="left" w:pos="231"/>
              </w:tabs>
              <w:spacing w:line="230" w:lineRule="atLeast"/>
              <w:rPr>
                <w:sz w:val="20"/>
                <w:lang w:val="da-DK"/>
              </w:rPr>
            </w:pPr>
          </w:p>
          <w:p w14:paraId="25055015" w14:textId="77777777" w:rsidR="00953589" w:rsidRPr="00953589" w:rsidRDefault="00953589" w:rsidP="00601BC3">
            <w:pPr>
              <w:pStyle w:val="TableParagraph"/>
              <w:tabs>
                <w:tab w:val="left" w:pos="231"/>
              </w:tabs>
              <w:spacing w:line="230" w:lineRule="atLeast"/>
              <w:rPr>
                <w:sz w:val="20"/>
                <w:lang w:val="da-DK"/>
              </w:rPr>
            </w:pPr>
            <w:r w:rsidRPr="00953589">
              <w:rPr>
                <w:sz w:val="20"/>
                <w:lang w:val="da-DK"/>
              </w:rPr>
              <w:t>Meddeles alle kommuner i Syddanmark og eventuelle</w:t>
            </w:r>
            <w:r w:rsidRPr="00953589">
              <w:rPr>
                <w:spacing w:val="-15"/>
                <w:sz w:val="20"/>
                <w:lang w:val="da-DK"/>
              </w:rPr>
              <w:t xml:space="preserve"> </w:t>
            </w:r>
            <w:r w:rsidRPr="00953589">
              <w:rPr>
                <w:sz w:val="20"/>
                <w:lang w:val="da-DK"/>
              </w:rPr>
              <w:t>andre brugerkommuner.</w:t>
            </w:r>
          </w:p>
          <w:p w14:paraId="57DDFFCF" w14:textId="77777777" w:rsidR="00953589" w:rsidRPr="00953589" w:rsidRDefault="00953589" w:rsidP="00601BC3">
            <w:pPr>
              <w:pStyle w:val="TableParagraph"/>
              <w:tabs>
                <w:tab w:val="left" w:pos="231"/>
              </w:tabs>
              <w:spacing w:line="230" w:lineRule="atLeast"/>
              <w:rPr>
                <w:sz w:val="20"/>
                <w:lang w:val="da-DK"/>
              </w:rPr>
            </w:pPr>
          </w:p>
          <w:p w14:paraId="7AAB7B4B" w14:textId="77777777" w:rsidR="00953589" w:rsidRPr="00953589" w:rsidRDefault="00953589" w:rsidP="00601BC3">
            <w:pPr>
              <w:pStyle w:val="TableParagraph"/>
              <w:tabs>
                <w:tab w:val="left" w:pos="231"/>
              </w:tabs>
              <w:spacing w:line="230" w:lineRule="atLeast"/>
              <w:rPr>
                <w:sz w:val="20"/>
                <w:lang w:val="da-DK"/>
              </w:rPr>
            </w:pPr>
          </w:p>
          <w:p w14:paraId="1FA5D6F2" w14:textId="77777777" w:rsidR="00953589" w:rsidRPr="00953589" w:rsidRDefault="00953589" w:rsidP="00601BC3">
            <w:pPr>
              <w:pStyle w:val="TableParagraph"/>
              <w:tabs>
                <w:tab w:val="left" w:pos="231"/>
              </w:tabs>
              <w:spacing w:line="230" w:lineRule="atLeast"/>
              <w:rPr>
                <w:sz w:val="20"/>
                <w:lang w:val="da-DK"/>
              </w:rPr>
            </w:pPr>
          </w:p>
          <w:p w14:paraId="3833CE91" w14:textId="77777777" w:rsidR="00953589" w:rsidRPr="00953589" w:rsidRDefault="00953589" w:rsidP="00601BC3">
            <w:pPr>
              <w:pStyle w:val="TableParagraph"/>
              <w:tabs>
                <w:tab w:val="left" w:pos="231"/>
              </w:tabs>
              <w:spacing w:line="230" w:lineRule="atLeast"/>
              <w:rPr>
                <w:sz w:val="20"/>
                <w:lang w:val="da-DK"/>
              </w:rPr>
            </w:pPr>
          </w:p>
        </w:tc>
        <w:tc>
          <w:tcPr>
            <w:tcW w:w="4394" w:type="dxa"/>
          </w:tcPr>
          <w:p w14:paraId="3688638C" w14:textId="77777777" w:rsidR="00953589" w:rsidRPr="00953589" w:rsidRDefault="00953589" w:rsidP="00601BC3">
            <w:pPr>
              <w:pStyle w:val="TableParagraph"/>
              <w:ind w:left="108"/>
              <w:rPr>
                <w:sz w:val="20"/>
                <w:lang w:val="da-DK"/>
              </w:rPr>
            </w:pPr>
            <w:r w:rsidRPr="00953589">
              <w:rPr>
                <w:sz w:val="20"/>
                <w:lang w:val="da-DK"/>
              </w:rPr>
              <w:t>Reduktionen begrundes. Der skal gøres rede for, hvordan taksten påvirkes samt de økonomiske konsekvenser for betalingskommunerne.</w:t>
            </w:r>
          </w:p>
          <w:p w14:paraId="295FC7A7" w14:textId="77777777" w:rsidR="00953589" w:rsidRPr="00953589" w:rsidRDefault="00953589" w:rsidP="00601BC3">
            <w:pPr>
              <w:pStyle w:val="TableParagraph"/>
              <w:spacing w:line="227" w:lineRule="exact"/>
              <w:ind w:left="108"/>
              <w:rPr>
                <w:sz w:val="20"/>
                <w:lang w:val="da-DK"/>
              </w:rPr>
            </w:pPr>
          </w:p>
          <w:p w14:paraId="5A7B2AAE" w14:textId="77777777" w:rsidR="00953589" w:rsidRPr="00953589" w:rsidRDefault="00953589" w:rsidP="00601BC3">
            <w:pPr>
              <w:pStyle w:val="TableParagraph"/>
              <w:ind w:left="108"/>
              <w:rPr>
                <w:sz w:val="20"/>
                <w:lang w:val="da-DK"/>
              </w:rPr>
            </w:pPr>
          </w:p>
        </w:tc>
      </w:tr>
      <w:tr w:rsidR="00953589" w:rsidRPr="00A1675D" w14:paraId="146AF17C" w14:textId="77777777" w:rsidTr="00601BC3">
        <w:trPr>
          <w:trHeight w:val="1382"/>
        </w:trPr>
        <w:tc>
          <w:tcPr>
            <w:tcW w:w="1843" w:type="dxa"/>
          </w:tcPr>
          <w:p w14:paraId="12A02326" w14:textId="77777777" w:rsidR="00953589" w:rsidRPr="00953589" w:rsidRDefault="00953589" w:rsidP="00601BC3">
            <w:pPr>
              <w:pStyle w:val="TableParagraph"/>
              <w:ind w:left="107"/>
              <w:rPr>
                <w:b/>
                <w:sz w:val="20"/>
                <w:lang w:val="da-DK"/>
              </w:rPr>
            </w:pPr>
            <w:r w:rsidRPr="00953589">
              <w:rPr>
                <w:b/>
                <w:sz w:val="20"/>
                <w:lang w:val="da-DK"/>
              </w:rPr>
              <w:lastRenderedPageBreak/>
              <w:t>Oprettelse af nye tilbud med forventet salg af plader til andre kommuner</w:t>
            </w:r>
          </w:p>
        </w:tc>
        <w:tc>
          <w:tcPr>
            <w:tcW w:w="3686" w:type="dxa"/>
          </w:tcPr>
          <w:p w14:paraId="247132E9" w14:textId="77777777" w:rsidR="00953589" w:rsidRPr="00953589" w:rsidRDefault="00953589" w:rsidP="00601BC3">
            <w:pPr>
              <w:pStyle w:val="TableParagraph"/>
              <w:tabs>
                <w:tab w:val="left" w:pos="231"/>
              </w:tabs>
              <w:rPr>
                <w:sz w:val="20"/>
                <w:lang w:val="da-DK"/>
              </w:rPr>
            </w:pPr>
            <w:r w:rsidRPr="00953589">
              <w:rPr>
                <w:sz w:val="20"/>
                <w:lang w:val="da-DK"/>
              </w:rPr>
              <w:t>Udtalelse hos</w:t>
            </w:r>
            <w:r w:rsidRPr="00953589">
              <w:rPr>
                <w:spacing w:val="-4"/>
                <w:sz w:val="20"/>
                <w:lang w:val="da-DK"/>
              </w:rPr>
              <w:t xml:space="preserve"> S</w:t>
            </w:r>
            <w:r w:rsidRPr="00953589">
              <w:rPr>
                <w:sz w:val="20"/>
                <w:lang w:val="da-DK"/>
              </w:rPr>
              <w:t>ocialdirektørforum.</w:t>
            </w:r>
          </w:p>
          <w:p w14:paraId="25BAE0C6" w14:textId="77777777" w:rsidR="00953589" w:rsidRPr="00953589" w:rsidRDefault="00953589" w:rsidP="00601BC3">
            <w:pPr>
              <w:pStyle w:val="TableParagraph"/>
              <w:tabs>
                <w:tab w:val="left" w:pos="231"/>
              </w:tabs>
              <w:rPr>
                <w:sz w:val="20"/>
                <w:lang w:val="da-DK"/>
              </w:rPr>
            </w:pPr>
          </w:p>
          <w:p w14:paraId="0D4DD464" w14:textId="77777777" w:rsidR="00953589" w:rsidRPr="00953589" w:rsidRDefault="00953589" w:rsidP="00601BC3">
            <w:pPr>
              <w:pStyle w:val="TableParagraph"/>
              <w:tabs>
                <w:tab w:val="left" w:pos="231"/>
              </w:tabs>
              <w:rPr>
                <w:sz w:val="20"/>
                <w:lang w:val="da-DK"/>
              </w:rPr>
            </w:pPr>
            <w:r w:rsidRPr="00953589">
              <w:rPr>
                <w:sz w:val="20"/>
                <w:lang w:val="da-DK"/>
              </w:rPr>
              <w:t>Meddeles alle kommuner i Syddanmark og eventuelle</w:t>
            </w:r>
            <w:r w:rsidRPr="00953589">
              <w:rPr>
                <w:spacing w:val="-15"/>
                <w:sz w:val="20"/>
                <w:lang w:val="da-DK"/>
              </w:rPr>
              <w:t xml:space="preserve"> </w:t>
            </w:r>
            <w:r w:rsidRPr="00953589">
              <w:rPr>
                <w:sz w:val="20"/>
                <w:lang w:val="da-DK"/>
              </w:rPr>
              <w:t>andre brugerkommuner.</w:t>
            </w:r>
          </w:p>
          <w:p w14:paraId="7DD9A63D" w14:textId="77777777" w:rsidR="00953589" w:rsidRPr="00953589" w:rsidRDefault="00953589" w:rsidP="00601BC3">
            <w:pPr>
              <w:pStyle w:val="TableParagraph"/>
              <w:spacing w:before="6" w:line="228" w:lineRule="exact"/>
              <w:rPr>
                <w:sz w:val="20"/>
                <w:lang w:val="da-DK"/>
              </w:rPr>
            </w:pPr>
          </w:p>
        </w:tc>
        <w:tc>
          <w:tcPr>
            <w:tcW w:w="4394" w:type="dxa"/>
          </w:tcPr>
          <w:p w14:paraId="21CB6EEB" w14:textId="77777777" w:rsidR="00953589" w:rsidRPr="00953589" w:rsidRDefault="00953589" w:rsidP="00601BC3">
            <w:pPr>
              <w:pStyle w:val="TableParagraph"/>
              <w:ind w:left="108"/>
              <w:rPr>
                <w:sz w:val="20"/>
                <w:lang w:val="da-DK"/>
              </w:rPr>
            </w:pPr>
            <w:r w:rsidRPr="00953589">
              <w:rPr>
                <w:sz w:val="20"/>
                <w:lang w:val="da-DK"/>
              </w:rPr>
              <w:t>Der skal redegøres for, hvordan oprettelsen af disse pladser forventes at påvirke efterspørgslen efter eksisterende pladser i andre kommuner og i regionen</w:t>
            </w:r>
          </w:p>
        </w:tc>
      </w:tr>
      <w:tr w:rsidR="00953589" w:rsidRPr="00A1675D" w14:paraId="3FD9684C" w14:textId="77777777" w:rsidTr="00601BC3">
        <w:trPr>
          <w:trHeight w:val="1382"/>
        </w:trPr>
        <w:tc>
          <w:tcPr>
            <w:tcW w:w="1843" w:type="dxa"/>
          </w:tcPr>
          <w:p w14:paraId="65BED9CB" w14:textId="77777777" w:rsidR="00953589" w:rsidRPr="00A309E6" w:rsidRDefault="00953589" w:rsidP="00601BC3">
            <w:pPr>
              <w:pStyle w:val="TableParagraph"/>
              <w:ind w:left="107"/>
              <w:rPr>
                <w:b/>
                <w:sz w:val="20"/>
              </w:rPr>
            </w:pPr>
            <w:proofErr w:type="spellStart"/>
            <w:r>
              <w:rPr>
                <w:b/>
                <w:sz w:val="20"/>
              </w:rPr>
              <w:t>Lukning</w:t>
            </w:r>
            <w:proofErr w:type="spellEnd"/>
          </w:p>
        </w:tc>
        <w:tc>
          <w:tcPr>
            <w:tcW w:w="3686" w:type="dxa"/>
          </w:tcPr>
          <w:p w14:paraId="65B61FFA" w14:textId="77777777" w:rsidR="00953589" w:rsidRPr="00953589" w:rsidRDefault="00953589" w:rsidP="00601BC3">
            <w:pPr>
              <w:pStyle w:val="TableParagraph"/>
              <w:tabs>
                <w:tab w:val="left" w:pos="231"/>
              </w:tabs>
              <w:rPr>
                <w:sz w:val="20"/>
                <w:lang w:val="da-DK"/>
              </w:rPr>
            </w:pPr>
            <w:r w:rsidRPr="00953589">
              <w:rPr>
                <w:sz w:val="20"/>
                <w:lang w:val="da-DK"/>
              </w:rPr>
              <w:t>Høring hos</w:t>
            </w:r>
            <w:r w:rsidRPr="00953589">
              <w:rPr>
                <w:spacing w:val="-4"/>
                <w:sz w:val="20"/>
                <w:lang w:val="da-DK"/>
              </w:rPr>
              <w:t xml:space="preserve"> </w:t>
            </w:r>
            <w:r w:rsidRPr="00953589">
              <w:rPr>
                <w:sz w:val="20"/>
                <w:lang w:val="da-DK"/>
              </w:rPr>
              <w:t>Socialdirektørforum.</w:t>
            </w:r>
          </w:p>
          <w:p w14:paraId="16F5B4DB" w14:textId="77777777" w:rsidR="00953589" w:rsidRPr="00953589" w:rsidRDefault="00953589" w:rsidP="00601BC3">
            <w:pPr>
              <w:pStyle w:val="TableParagraph"/>
              <w:tabs>
                <w:tab w:val="left" w:pos="231"/>
              </w:tabs>
              <w:rPr>
                <w:sz w:val="20"/>
                <w:lang w:val="da-DK"/>
              </w:rPr>
            </w:pPr>
          </w:p>
          <w:p w14:paraId="6B27F2C6" w14:textId="77777777" w:rsidR="00953589" w:rsidRPr="00953589" w:rsidRDefault="00953589" w:rsidP="00601BC3">
            <w:pPr>
              <w:pStyle w:val="TableParagraph"/>
              <w:tabs>
                <w:tab w:val="left" w:pos="231"/>
              </w:tabs>
              <w:rPr>
                <w:sz w:val="20"/>
                <w:lang w:val="da-DK"/>
              </w:rPr>
            </w:pPr>
            <w:r w:rsidRPr="00953589">
              <w:rPr>
                <w:sz w:val="20"/>
                <w:lang w:val="da-DK"/>
              </w:rPr>
              <w:t>Meddeles alle kommuner i Syddanmark og eventuelle</w:t>
            </w:r>
            <w:r w:rsidRPr="00953589">
              <w:rPr>
                <w:spacing w:val="-15"/>
                <w:sz w:val="20"/>
                <w:lang w:val="da-DK"/>
              </w:rPr>
              <w:t xml:space="preserve"> </w:t>
            </w:r>
            <w:r w:rsidRPr="00953589">
              <w:rPr>
                <w:sz w:val="20"/>
                <w:lang w:val="da-DK"/>
              </w:rPr>
              <w:t>andre brugerkommuner.</w:t>
            </w:r>
          </w:p>
          <w:p w14:paraId="76997F20" w14:textId="77777777" w:rsidR="00953589" w:rsidRPr="00953589" w:rsidRDefault="00953589" w:rsidP="00601BC3">
            <w:pPr>
              <w:pStyle w:val="TableParagraph"/>
              <w:tabs>
                <w:tab w:val="left" w:pos="231"/>
              </w:tabs>
              <w:rPr>
                <w:sz w:val="20"/>
                <w:lang w:val="da-DK"/>
              </w:rPr>
            </w:pPr>
          </w:p>
          <w:p w14:paraId="79AEEFB9" w14:textId="77777777" w:rsidR="00953589" w:rsidRPr="00953589" w:rsidRDefault="00953589" w:rsidP="00601BC3">
            <w:pPr>
              <w:pStyle w:val="TableParagraph"/>
              <w:ind w:left="107"/>
              <w:rPr>
                <w:sz w:val="20"/>
                <w:u w:val="single"/>
                <w:lang w:val="da-DK"/>
              </w:rPr>
            </w:pPr>
          </w:p>
        </w:tc>
        <w:tc>
          <w:tcPr>
            <w:tcW w:w="4394" w:type="dxa"/>
          </w:tcPr>
          <w:p w14:paraId="472F8B36" w14:textId="77777777" w:rsidR="00953589" w:rsidRPr="00953589" w:rsidRDefault="00953589" w:rsidP="00601BC3">
            <w:pPr>
              <w:pStyle w:val="TableParagraph"/>
              <w:spacing w:line="227" w:lineRule="exact"/>
              <w:ind w:left="108"/>
              <w:rPr>
                <w:sz w:val="20"/>
                <w:lang w:val="da-DK"/>
              </w:rPr>
            </w:pPr>
            <w:r w:rsidRPr="00953589">
              <w:rPr>
                <w:sz w:val="20"/>
                <w:lang w:val="da-DK"/>
              </w:rPr>
              <w:t>Lukningen begrundes.</w:t>
            </w:r>
          </w:p>
          <w:p w14:paraId="05FC6BF7" w14:textId="77777777" w:rsidR="00953589" w:rsidRPr="00953589" w:rsidRDefault="00953589" w:rsidP="00601BC3">
            <w:pPr>
              <w:pStyle w:val="TableParagraph"/>
              <w:rPr>
                <w:b/>
                <w:sz w:val="20"/>
                <w:lang w:val="da-DK"/>
              </w:rPr>
            </w:pPr>
          </w:p>
          <w:p w14:paraId="3FC691F0" w14:textId="77777777" w:rsidR="00953589" w:rsidRPr="00953589" w:rsidRDefault="00953589" w:rsidP="00601BC3">
            <w:pPr>
              <w:pStyle w:val="TableParagraph"/>
              <w:ind w:left="108"/>
              <w:rPr>
                <w:sz w:val="20"/>
                <w:lang w:val="da-DK"/>
              </w:rPr>
            </w:pPr>
            <w:r w:rsidRPr="00953589">
              <w:rPr>
                <w:sz w:val="20"/>
                <w:lang w:val="da-DK"/>
              </w:rPr>
              <w:t>Hvis Socialdirektørforum mener, at tilbuddet ikke skal nedlægges på grund af pladsernes betydning for den samlede udbudsvifte, skal de økonomiske konsekvenser ved at videreføre tilbuddet fremgå.</w:t>
            </w:r>
          </w:p>
        </w:tc>
      </w:tr>
    </w:tbl>
    <w:p w14:paraId="128309B9" w14:textId="77777777" w:rsidR="00953589" w:rsidRPr="00CA1F92" w:rsidRDefault="00953589" w:rsidP="00953589">
      <w:pPr>
        <w:pStyle w:val="Brdtekst"/>
        <w:rPr>
          <w:b/>
          <w:sz w:val="20"/>
        </w:rPr>
      </w:pPr>
    </w:p>
    <w:p w14:paraId="4818B714" w14:textId="77777777" w:rsidR="00953589" w:rsidRPr="00CA1F92" w:rsidRDefault="00953589" w:rsidP="00953589">
      <w:pPr>
        <w:pStyle w:val="Brdtekst"/>
        <w:rPr>
          <w:b/>
          <w:sz w:val="19"/>
        </w:rPr>
      </w:pPr>
    </w:p>
    <w:p w14:paraId="77344EEE" w14:textId="77777777" w:rsidR="00953589" w:rsidRPr="00187767" w:rsidRDefault="00953589" w:rsidP="00953589">
      <w:pPr>
        <w:pStyle w:val="Overskrift2"/>
        <w:ind w:left="0"/>
        <w:rPr>
          <w:b w:val="0"/>
          <w:bCs w:val="0"/>
          <w:u w:val="single"/>
        </w:rPr>
      </w:pPr>
      <w:r w:rsidRPr="00187767">
        <w:rPr>
          <w:b w:val="0"/>
          <w:bCs w:val="0"/>
          <w:u w:val="single"/>
        </w:rPr>
        <w:t xml:space="preserve">Proces for </w:t>
      </w:r>
      <w:r>
        <w:rPr>
          <w:b w:val="0"/>
          <w:bCs w:val="0"/>
          <w:u w:val="single"/>
        </w:rPr>
        <w:t>tilbud som kan have indflydelse på andre tilbud i Syddanmark</w:t>
      </w:r>
    </w:p>
    <w:p w14:paraId="2CC50A68" w14:textId="77777777" w:rsidR="00953589" w:rsidRPr="00A309E6" w:rsidRDefault="00953589" w:rsidP="00953589">
      <w:pPr>
        <w:pStyle w:val="Brdtekst"/>
        <w:spacing w:before="159"/>
      </w:pPr>
      <w:r w:rsidRPr="1EA6541A">
        <w:t xml:space="preserve">Hvis der oprettes tilbud eller foretages ændringer i en kommunes tilbud, der har væsentlig indflydelse på andre kommuners eller regionens tilbud, skal kommunerne i Syddanmark og regionen orienteres hurtigst muligt. </w:t>
      </w:r>
    </w:p>
    <w:p w14:paraId="1E2CFAB2" w14:textId="77777777" w:rsidR="00953589" w:rsidRDefault="00953589" w:rsidP="00953589">
      <w:pPr>
        <w:pStyle w:val="Brdtekst"/>
        <w:spacing w:before="160"/>
      </w:pPr>
      <w:r w:rsidRPr="00A309E6">
        <w:t xml:space="preserve">Der er udarbejdet en skabelon til formålet, der kan findes på </w:t>
      </w:r>
      <w:hyperlink r:id="rId7">
        <w:r w:rsidRPr="00A309E6">
          <w:t>www.socia</w:t>
        </w:r>
        <w:r w:rsidRPr="00A309E6">
          <w:t>l</w:t>
        </w:r>
        <w:r w:rsidRPr="00A309E6">
          <w:t>sekretariatet.dk.</w:t>
        </w:r>
      </w:hyperlink>
    </w:p>
    <w:p w14:paraId="3E9A3A02" w14:textId="77777777" w:rsidR="00953589" w:rsidRDefault="00953589" w:rsidP="00953589">
      <w:pPr>
        <w:rPr>
          <w:sz w:val="21"/>
          <w:szCs w:val="21"/>
        </w:rPr>
      </w:pPr>
    </w:p>
    <w:p w14:paraId="000DE309" w14:textId="1019D206" w:rsidR="000D5A9B" w:rsidRPr="00953589" w:rsidRDefault="000D5A9B">
      <w:pPr>
        <w:rPr>
          <w:rFonts w:ascii="Cambria" w:eastAsia="Cambria" w:hAnsi="Cambria" w:cs="Cambria"/>
          <w:color w:val="C45911" w:themeColor="accent2" w:themeShade="BF"/>
          <w:sz w:val="36"/>
          <w:szCs w:val="36"/>
        </w:rPr>
      </w:pPr>
    </w:p>
    <w:sectPr w:rsidR="000D5A9B" w:rsidRPr="0095358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2BFE" w14:textId="77777777" w:rsidR="00953589" w:rsidRDefault="00953589" w:rsidP="00953589">
      <w:r>
        <w:separator/>
      </w:r>
    </w:p>
  </w:endnote>
  <w:endnote w:type="continuationSeparator" w:id="0">
    <w:p w14:paraId="5FE96568" w14:textId="77777777" w:rsidR="00953589" w:rsidRDefault="00953589" w:rsidP="0095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8D75" w14:textId="77777777" w:rsidR="00953589" w:rsidRDefault="00953589" w:rsidP="00953589">
      <w:r>
        <w:separator/>
      </w:r>
    </w:p>
  </w:footnote>
  <w:footnote w:type="continuationSeparator" w:id="0">
    <w:p w14:paraId="4F0141F6" w14:textId="77777777" w:rsidR="00953589" w:rsidRDefault="00953589" w:rsidP="00953589">
      <w:r>
        <w:continuationSeparator/>
      </w:r>
    </w:p>
  </w:footnote>
  <w:footnote w:id="1">
    <w:p w14:paraId="64553B98" w14:textId="77777777" w:rsidR="00953589" w:rsidRPr="00840DC5" w:rsidRDefault="00953589" w:rsidP="00953589">
      <w:pPr>
        <w:pStyle w:val="Fodnotetekst"/>
      </w:pPr>
      <w:r>
        <w:rPr>
          <w:rStyle w:val="Fodnotehenvisning"/>
        </w:rPr>
        <w:footnoteRef/>
      </w:r>
      <w:r w:rsidRPr="00840DC5">
        <w:t xml:space="preserve"> </w:t>
      </w:r>
      <w:r>
        <w:t>Eksempel: Et tilbud med 70 pladser kan således frit op-/ og nedjustere med 7 pladser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89"/>
    <w:rsid w:val="000D5A9B"/>
    <w:rsid w:val="00953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D235"/>
  <w15:chartTrackingRefBased/>
  <w15:docId w15:val="{624A379F-AAFC-49EB-B53A-9F66E3D2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9"/>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953589"/>
    <w:pPr>
      <w:ind w:left="332"/>
      <w:outlineLvl w:val="0"/>
    </w:pPr>
    <w:rPr>
      <w:rFonts w:ascii="Cambria" w:eastAsia="Cambria" w:hAnsi="Cambria" w:cs="Cambria"/>
      <w:sz w:val="36"/>
      <w:szCs w:val="36"/>
    </w:rPr>
  </w:style>
  <w:style w:type="paragraph" w:styleId="Overskrift2">
    <w:name w:val="heading 2"/>
    <w:basedOn w:val="Normal"/>
    <w:link w:val="Overskrift2Tegn"/>
    <w:uiPriority w:val="9"/>
    <w:unhideWhenUsed/>
    <w:qFormat/>
    <w:rsid w:val="00953589"/>
    <w:pPr>
      <w:ind w:left="332"/>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3589"/>
    <w:rPr>
      <w:rFonts w:ascii="Cambria" w:eastAsia="Cambria" w:hAnsi="Cambria" w:cs="Cambria"/>
      <w:sz w:val="36"/>
      <w:szCs w:val="36"/>
    </w:rPr>
  </w:style>
  <w:style w:type="character" w:customStyle="1" w:styleId="Overskrift2Tegn">
    <w:name w:val="Overskrift 2 Tegn"/>
    <w:basedOn w:val="Standardskrifttypeiafsnit"/>
    <w:link w:val="Overskrift2"/>
    <w:uiPriority w:val="9"/>
    <w:rsid w:val="00953589"/>
    <w:rPr>
      <w:rFonts w:ascii="Arial" w:eastAsia="Arial" w:hAnsi="Arial" w:cs="Arial"/>
      <w:b/>
      <w:bCs/>
      <w:sz w:val="21"/>
      <w:szCs w:val="21"/>
    </w:rPr>
  </w:style>
  <w:style w:type="table" w:customStyle="1" w:styleId="NormalTable0">
    <w:name w:val="Normal Table0"/>
    <w:uiPriority w:val="2"/>
    <w:semiHidden/>
    <w:unhideWhenUsed/>
    <w:qFormat/>
    <w:rsid w:val="009535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953589"/>
    <w:rPr>
      <w:sz w:val="21"/>
      <w:szCs w:val="21"/>
    </w:rPr>
  </w:style>
  <w:style w:type="character" w:customStyle="1" w:styleId="BrdtekstTegn">
    <w:name w:val="Brødtekst Tegn"/>
    <w:basedOn w:val="Standardskrifttypeiafsnit"/>
    <w:link w:val="Brdtekst"/>
    <w:uiPriority w:val="1"/>
    <w:rsid w:val="00953589"/>
    <w:rPr>
      <w:rFonts w:ascii="Arial" w:eastAsia="Arial" w:hAnsi="Arial" w:cs="Arial"/>
      <w:sz w:val="21"/>
      <w:szCs w:val="21"/>
    </w:rPr>
  </w:style>
  <w:style w:type="paragraph" w:customStyle="1" w:styleId="TableParagraph">
    <w:name w:val="Table Paragraph"/>
    <w:basedOn w:val="Normal"/>
    <w:uiPriority w:val="1"/>
    <w:qFormat/>
    <w:rsid w:val="00953589"/>
  </w:style>
  <w:style w:type="paragraph" w:styleId="Fodnotetekst">
    <w:name w:val="footnote text"/>
    <w:basedOn w:val="Normal"/>
    <w:link w:val="FodnotetekstTegn"/>
    <w:uiPriority w:val="99"/>
    <w:semiHidden/>
    <w:unhideWhenUsed/>
    <w:rsid w:val="00953589"/>
    <w:rPr>
      <w:sz w:val="20"/>
      <w:szCs w:val="20"/>
    </w:rPr>
  </w:style>
  <w:style w:type="character" w:customStyle="1" w:styleId="FodnotetekstTegn">
    <w:name w:val="Fodnotetekst Tegn"/>
    <w:basedOn w:val="Standardskrifttypeiafsnit"/>
    <w:link w:val="Fodnotetekst"/>
    <w:uiPriority w:val="99"/>
    <w:semiHidden/>
    <w:rsid w:val="00953589"/>
    <w:rPr>
      <w:rFonts w:ascii="Arial" w:eastAsia="Arial" w:hAnsi="Arial" w:cs="Arial"/>
      <w:sz w:val="20"/>
      <w:szCs w:val="20"/>
    </w:rPr>
  </w:style>
  <w:style w:type="character" w:styleId="Fodnotehenvisning">
    <w:name w:val="footnote reference"/>
    <w:basedOn w:val="Standardskrifttypeiafsnit"/>
    <w:uiPriority w:val="99"/>
    <w:semiHidden/>
    <w:unhideWhenUsed/>
    <w:rsid w:val="00953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cialsekretariat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ekretariatet.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3125</Characters>
  <Application>Microsoft Office Word</Application>
  <DocSecurity>0</DocSecurity>
  <Lines>26</Lines>
  <Paragraphs>7</Paragraphs>
  <ScaleCrop>false</ScaleCrop>
  <Company>Middelfart Kommune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2022-12-19T08:30:00Z</dcterms:created>
  <dcterms:modified xsi:type="dcterms:W3CDTF">2022-12-19T08:32:00Z</dcterms:modified>
</cp:coreProperties>
</file>