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D0D3E" w14:textId="77777777" w:rsidR="00DF7DEC" w:rsidRDefault="00DF7DEC" w:rsidP="00DF7DEC">
      <w:pPr>
        <w:pStyle w:val="Overskrift1"/>
        <w:spacing w:before="100"/>
        <w:ind w:left="0"/>
        <w:rPr>
          <w:color w:val="C45911" w:themeColor="accent2" w:themeShade="BF"/>
        </w:rPr>
      </w:pPr>
      <w:bookmarkStart w:id="0" w:name="_Toc104897244"/>
      <w:r w:rsidRPr="00B355B0">
        <w:rPr>
          <w:color w:val="C45911" w:themeColor="accent2" w:themeShade="BF"/>
        </w:rPr>
        <w:t>Bilag 5: Håndtering af lukning af tilbud</w:t>
      </w:r>
      <w:bookmarkEnd w:id="0"/>
      <w:r w:rsidRPr="00B355B0">
        <w:rPr>
          <w:color w:val="C45911" w:themeColor="accent2" w:themeShade="BF"/>
        </w:rPr>
        <w:t xml:space="preserve"> </w:t>
      </w:r>
    </w:p>
    <w:p w14:paraId="2D41E801" w14:textId="77777777" w:rsidR="00DF7DEC" w:rsidRDefault="00DF7DEC" w:rsidP="00DF7DEC">
      <w:pPr>
        <w:pStyle w:val="Brdtekst"/>
        <w:rPr>
          <w:color w:val="000000" w:themeColor="text1"/>
        </w:rPr>
      </w:pPr>
    </w:p>
    <w:p w14:paraId="546E3818" w14:textId="77777777" w:rsidR="00DF7DEC" w:rsidRDefault="00DF7DEC" w:rsidP="00DF7DEC">
      <w:pPr>
        <w:pStyle w:val="Brdtekst"/>
        <w:rPr>
          <w:color w:val="000000" w:themeColor="text1"/>
        </w:rPr>
      </w:pPr>
      <w:r>
        <w:rPr>
          <w:color w:val="000000" w:themeColor="text1"/>
        </w:rPr>
        <w:t>Hvis der opstår behov for at lukket et tilbud, påhviler det driftsherren at udvise</w:t>
      </w:r>
      <w:r w:rsidRPr="00900771">
        <w:rPr>
          <w:color w:val="000000" w:themeColor="text1"/>
        </w:rPr>
        <w:t xml:space="preserve"> rettidig omhu og tidligst muligt informere handlekommuner og betalingskommuner om mulig lukning af tilbud. Driftsherre </w:t>
      </w:r>
      <w:r>
        <w:rPr>
          <w:color w:val="000000" w:themeColor="text1"/>
        </w:rPr>
        <w:t xml:space="preserve">er </w:t>
      </w:r>
      <w:r w:rsidRPr="00900771">
        <w:rPr>
          <w:color w:val="000000" w:themeColor="text1"/>
        </w:rPr>
        <w:t>forpligte</w:t>
      </w:r>
      <w:r>
        <w:rPr>
          <w:color w:val="000000" w:themeColor="text1"/>
        </w:rPr>
        <w:t xml:space="preserve">t </w:t>
      </w:r>
      <w:r w:rsidRPr="00900771">
        <w:rPr>
          <w:color w:val="000000" w:themeColor="text1"/>
        </w:rPr>
        <w:t>til at afvikle tilbuddet på den økonomisk mest hensigtsmæssige måde for betalingskommunerne.</w:t>
      </w:r>
    </w:p>
    <w:p w14:paraId="236AC05F" w14:textId="77777777" w:rsidR="00DF7DEC" w:rsidRDefault="00DF7DEC" w:rsidP="00DF7DEC">
      <w:pPr>
        <w:pStyle w:val="Brdtekst"/>
        <w:rPr>
          <w:color w:val="000000" w:themeColor="text1"/>
        </w:rPr>
      </w:pPr>
    </w:p>
    <w:p w14:paraId="5162B335" w14:textId="77777777" w:rsidR="00DF7DEC" w:rsidRDefault="00DF7DEC" w:rsidP="00DF7DEC">
      <w:pPr>
        <w:pStyle w:val="Brdtekst"/>
        <w:rPr>
          <w:color w:val="000000" w:themeColor="text1"/>
        </w:rPr>
      </w:pPr>
      <w:r>
        <w:rPr>
          <w:color w:val="000000" w:themeColor="text1"/>
        </w:rPr>
        <w:t>Principperne for lukningen tager udgangspunkt i den Rammeaftale, der er gældende det år, hvor beslutningen om lukning af tilbuddet besluttes.</w:t>
      </w:r>
    </w:p>
    <w:p w14:paraId="5281E905" w14:textId="77777777" w:rsidR="00DF7DEC" w:rsidRDefault="00DF7DEC" w:rsidP="00DF7DEC">
      <w:pPr>
        <w:pStyle w:val="Brdtekst"/>
        <w:rPr>
          <w:color w:val="000000" w:themeColor="text1"/>
        </w:rPr>
      </w:pPr>
    </w:p>
    <w:p w14:paraId="5CD54CD1" w14:textId="77777777" w:rsidR="00DF7DEC" w:rsidRDefault="00DF7DEC" w:rsidP="00DF7DEC">
      <w:pPr>
        <w:pStyle w:val="Brdtekst"/>
        <w:rPr>
          <w:color w:val="000000" w:themeColor="text1"/>
        </w:rPr>
      </w:pPr>
      <w:r>
        <w:rPr>
          <w:color w:val="000000" w:themeColor="text1"/>
        </w:rPr>
        <w:t>I det efterfølgende gennemgås først principperne når et kommunalt tilbud lukker. Efterfølgende vises den tilsvarende model for et regionalt tilbud.</w:t>
      </w:r>
    </w:p>
    <w:p w14:paraId="7DF0CC42" w14:textId="77777777" w:rsidR="00DF7DEC" w:rsidRDefault="00DF7DEC" w:rsidP="00DF7DEC">
      <w:pPr>
        <w:pStyle w:val="Brdtekst"/>
        <w:rPr>
          <w:color w:val="000000" w:themeColor="text1"/>
        </w:rPr>
      </w:pPr>
    </w:p>
    <w:p w14:paraId="19D8F41E" w14:textId="77777777" w:rsidR="00DF7DEC" w:rsidRDefault="00DF7DEC" w:rsidP="00DF7DEC">
      <w:pPr>
        <w:pStyle w:val="Brdtekst"/>
        <w:rPr>
          <w:color w:val="000000" w:themeColor="text1"/>
        </w:rPr>
      </w:pPr>
      <w:r>
        <w:rPr>
          <w:color w:val="000000" w:themeColor="text1"/>
        </w:rPr>
        <w:t>For begge typer tilbud, er der 2 opgørelsesmetoder, der har betydning for det regnskabsmæssige resultat:</w:t>
      </w:r>
    </w:p>
    <w:p w14:paraId="3319EB5B" w14:textId="77777777" w:rsidR="00DF7DEC" w:rsidRDefault="00DF7DEC" w:rsidP="00DF7DEC">
      <w:pPr>
        <w:pStyle w:val="Brdtekst"/>
        <w:numPr>
          <w:ilvl w:val="0"/>
          <w:numId w:val="3"/>
        </w:numPr>
        <w:rPr>
          <w:color w:val="000000" w:themeColor="text1"/>
        </w:rPr>
      </w:pPr>
      <w:r>
        <w:rPr>
          <w:color w:val="000000" w:themeColor="text1"/>
        </w:rPr>
        <w:t>Selvstændigt tilbud</w:t>
      </w:r>
    </w:p>
    <w:p w14:paraId="0466CE57" w14:textId="77777777" w:rsidR="00DF7DEC" w:rsidRDefault="00DF7DEC" w:rsidP="00DF7DEC">
      <w:pPr>
        <w:pStyle w:val="Brdtekst"/>
        <w:numPr>
          <w:ilvl w:val="1"/>
          <w:numId w:val="3"/>
        </w:numPr>
        <w:rPr>
          <w:color w:val="000000" w:themeColor="text1"/>
        </w:rPr>
      </w:pPr>
      <w:r>
        <w:rPr>
          <w:color w:val="000000" w:themeColor="text1"/>
        </w:rPr>
        <w:t xml:space="preserve">Et selvstændigt tilbud defineres som et tilbud, der ikke deler økonomi, ledelse eller andet med andre tilbud. </w:t>
      </w:r>
    </w:p>
    <w:p w14:paraId="77068FA2" w14:textId="77777777" w:rsidR="00DF7DEC" w:rsidRPr="00BB0E93" w:rsidRDefault="00DF7DEC" w:rsidP="00DF7DEC">
      <w:pPr>
        <w:pStyle w:val="Brdtekst"/>
        <w:numPr>
          <w:ilvl w:val="0"/>
          <w:numId w:val="3"/>
        </w:numPr>
        <w:rPr>
          <w:color w:val="000000" w:themeColor="text1"/>
        </w:rPr>
      </w:pPr>
      <w:r w:rsidRPr="00BB0E93">
        <w:rPr>
          <w:color w:val="000000" w:themeColor="text1"/>
        </w:rPr>
        <w:t xml:space="preserve">Tilbud der er en del af en økonomisk enhed, </w:t>
      </w:r>
    </w:p>
    <w:p w14:paraId="51C12440" w14:textId="77777777" w:rsidR="00DF7DEC" w:rsidRPr="00BB0E93" w:rsidRDefault="00DF7DEC" w:rsidP="00DF7DEC">
      <w:pPr>
        <w:pStyle w:val="Brdtekst"/>
        <w:numPr>
          <w:ilvl w:val="1"/>
          <w:numId w:val="3"/>
        </w:numPr>
        <w:rPr>
          <w:b/>
          <w:bCs/>
          <w:color w:val="000000" w:themeColor="text1"/>
          <w:u w:val="single"/>
        </w:rPr>
      </w:pPr>
      <w:r>
        <w:rPr>
          <w:color w:val="000000" w:themeColor="text1"/>
        </w:rPr>
        <w:t>E</w:t>
      </w:r>
      <w:r w:rsidRPr="00BB0E93">
        <w:rPr>
          <w:color w:val="000000" w:themeColor="text1"/>
        </w:rPr>
        <w:t xml:space="preserve">n økonomisk enhed består af flere tilbud, som kan være kendetegnet ved at have fælles ledelse, personale der servicerer på tværs af enheden. </w:t>
      </w:r>
    </w:p>
    <w:p w14:paraId="79988263" w14:textId="77777777" w:rsidR="00DF7DEC" w:rsidRPr="00EB5276" w:rsidRDefault="00DF7DEC" w:rsidP="00DF7DEC">
      <w:pPr>
        <w:pStyle w:val="Overskrift2"/>
        <w:spacing w:before="143"/>
        <w:ind w:left="0"/>
        <w:rPr>
          <w:color w:val="000000" w:themeColor="text1"/>
          <w:u w:val="single"/>
        </w:rPr>
      </w:pPr>
      <w:r w:rsidRPr="00EB5276">
        <w:rPr>
          <w:color w:val="000000" w:themeColor="text1"/>
          <w:u w:val="single"/>
        </w:rPr>
        <w:t>Lukning af kommunalt tilbud</w:t>
      </w:r>
    </w:p>
    <w:p w14:paraId="6ACF19AE" w14:textId="77777777" w:rsidR="00DF7DEC" w:rsidRDefault="00DF7DEC" w:rsidP="00DF7DEC">
      <w:pPr>
        <w:pStyle w:val="Overskrift2"/>
        <w:spacing w:before="1"/>
        <w:ind w:left="0"/>
        <w:rPr>
          <w:b w:val="0"/>
          <w:bCs w:val="0"/>
          <w:color w:val="000000" w:themeColor="text1"/>
        </w:rPr>
      </w:pPr>
      <w:r w:rsidRPr="00900771">
        <w:rPr>
          <w:b w:val="0"/>
          <w:bCs w:val="0"/>
          <w:color w:val="000000" w:themeColor="text1"/>
        </w:rPr>
        <w:t>Hvis en kommune lukker et tilbud, og der er et akkumuleret underskud, er det muligt at efterregulere en del af underskuddet.</w:t>
      </w:r>
      <w:r w:rsidRPr="00900771">
        <w:rPr>
          <w:rStyle w:val="Fodnotehenvisning"/>
          <w:color w:val="000000" w:themeColor="text1"/>
        </w:rPr>
        <w:t xml:space="preserve"> </w:t>
      </w:r>
      <w:r w:rsidRPr="00900771">
        <w:rPr>
          <w:rStyle w:val="Fodnotehenvisning"/>
          <w:color w:val="000000" w:themeColor="text1"/>
        </w:rPr>
        <w:footnoteReference w:id="1"/>
      </w:r>
      <w:r w:rsidRPr="00900771">
        <w:rPr>
          <w:b w:val="0"/>
          <w:bCs w:val="0"/>
          <w:color w:val="000000" w:themeColor="text1"/>
        </w:rPr>
        <w:t xml:space="preserve"> Det er afgørende, om der er tale om lukning af et selvstændigt tilbud, eller om der er tale om en lukning af et tilbud, der er en del af </w:t>
      </w:r>
      <w:r>
        <w:rPr>
          <w:b w:val="0"/>
          <w:bCs w:val="0"/>
          <w:color w:val="000000" w:themeColor="text1"/>
        </w:rPr>
        <w:t>en økonomisk enhed.</w:t>
      </w:r>
    </w:p>
    <w:p w14:paraId="26192305" w14:textId="77777777" w:rsidR="00DF7DEC" w:rsidRDefault="00DF7DEC" w:rsidP="00DF7DEC">
      <w:pPr>
        <w:pStyle w:val="Overskrift2"/>
        <w:spacing w:before="1"/>
        <w:ind w:left="0"/>
        <w:rPr>
          <w:b w:val="0"/>
          <w:bCs w:val="0"/>
          <w:color w:val="000000" w:themeColor="text1"/>
        </w:rPr>
      </w:pPr>
    </w:p>
    <w:p w14:paraId="2D614591" w14:textId="77777777" w:rsidR="00DF7DEC" w:rsidRPr="00900771" w:rsidRDefault="00DF7DEC" w:rsidP="00DF7DEC">
      <w:pPr>
        <w:pStyle w:val="Overskrift2"/>
        <w:spacing w:before="1"/>
        <w:ind w:left="0"/>
        <w:rPr>
          <w:b w:val="0"/>
          <w:bCs w:val="0"/>
          <w:i/>
          <w:iCs/>
          <w:color w:val="000000" w:themeColor="text1"/>
        </w:rPr>
      </w:pPr>
      <w:r w:rsidRPr="00900771">
        <w:rPr>
          <w:b w:val="0"/>
          <w:bCs w:val="0"/>
          <w:i/>
          <w:iCs/>
          <w:color w:val="000000" w:themeColor="text1"/>
        </w:rPr>
        <w:t>Reglen om efterregulering gælder for følgende:</w:t>
      </w:r>
    </w:p>
    <w:p w14:paraId="07B6A1D9" w14:textId="77777777" w:rsidR="00DF7DEC" w:rsidRPr="00942372" w:rsidRDefault="00DF7DEC" w:rsidP="00DF7DEC">
      <w:pPr>
        <w:pStyle w:val="Brdtekst"/>
        <w:spacing w:before="159"/>
      </w:pPr>
      <w:r w:rsidRPr="00900771">
        <w:rPr>
          <w:color w:val="000000" w:themeColor="text1"/>
        </w:rPr>
        <w:t xml:space="preserve">Reglen om efterregulering ved lukning af tilbud med underskud kan </w:t>
      </w:r>
      <w:r w:rsidRPr="00900771">
        <w:rPr>
          <w:color w:val="000000" w:themeColor="text1"/>
          <w:u w:val="single"/>
        </w:rPr>
        <w:t>kun</w:t>
      </w:r>
      <w:r w:rsidRPr="00900771">
        <w:rPr>
          <w:color w:val="000000" w:themeColor="text1"/>
        </w:rPr>
        <w:t xml:space="preserve"> anvendes ved lukning af et selvstændigt tilbud</w:t>
      </w:r>
      <w:r>
        <w:rPr>
          <w:color w:val="000000" w:themeColor="text1"/>
        </w:rPr>
        <w:t>. Det betyder, at t</w:t>
      </w:r>
      <w:r w:rsidRPr="00942372">
        <w:t>ilbuddet skal have et selvstændigt budget med egne takster. Tilbuddet eller enheden kan godt have fælles ledelse med andre tilbud eller enheder/afdelinger, men der skal være en klar fordelingsnøgle af fællesudgifterne, som skal kunne</w:t>
      </w:r>
      <w:r w:rsidRPr="00942372">
        <w:rPr>
          <w:spacing w:val="-16"/>
        </w:rPr>
        <w:t xml:space="preserve"> </w:t>
      </w:r>
      <w:r w:rsidRPr="00942372">
        <w:t>dokumenteres.</w:t>
      </w:r>
      <w:r w:rsidRPr="50A141BE">
        <w:rPr>
          <w:rStyle w:val="Fodnotehenvisning"/>
          <w:color w:val="000000" w:themeColor="text1"/>
        </w:rPr>
        <w:footnoteReference w:id="2"/>
      </w:r>
    </w:p>
    <w:p w14:paraId="046BB0F7" w14:textId="77777777" w:rsidR="00DF7DEC" w:rsidRDefault="00DF7DEC" w:rsidP="00DF7DEC">
      <w:pPr>
        <w:pStyle w:val="Overskrift2"/>
        <w:spacing w:before="1"/>
        <w:ind w:left="0"/>
        <w:rPr>
          <w:b w:val="0"/>
          <w:bCs w:val="0"/>
          <w:i/>
          <w:iCs/>
          <w:color w:val="000000" w:themeColor="text1"/>
        </w:rPr>
      </w:pPr>
    </w:p>
    <w:p w14:paraId="3270B0E0" w14:textId="77777777" w:rsidR="00DF7DEC" w:rsidRPr="00900771" w:rsidRDefault="00DF7DEC" w:rsidP="00DF7DEC">
      <w:pPr>
        <w:pStyle w:val="Overskrift2"/>
        <w:spacing w:before="1"/>
        <w:ind w:left="0"/>
        <w:rPr>
          <w:b w:val="0"/>
          <w:bCs w:val="0"/>
          <w:color w:val="000000" w:themeColor="text1"/>
          <w:u w:val="single"/>
        </w:rPr>
      </w:pPr>
      <w:r w:rsidRPr="00900771">
        <w:rPr>
          <w:b w:val="0"/>
          <w:bCs w:val="0"/>
          <w:i/>
          <w:iCs/>
          <w:color w:val="000000" w:themeColor="text1"/>
        </w:rPr>
        <w:t xml:space="preserve">Reglen om efterregulering gælder </w:t>
      </w:r>
      <w:r w:rsidRPr="00900771">
        <w:rPr>
          <w:b w:val="0"/>
          <w:bCs w:val="0"/>
          <w:i/>
          <w:iCs/>
          <w:color w:val="000000" w:themeColor="text1"/>
          <w:u w:val="single"/>
        </w:rPr>
        <w:t>ikke</w:t>
      </w:r>
      <w:r w:rsidRPr="00900771">
        <w:rPr>
          <w:b w:val="0"/>
          <w:bCs w:val="0"/>
          <w:color w:val="000000" w:themeColor="text1"/>
          <w:u w:val="single"/>
        </w:rPr>
        <w:t>:</w:t>
      </w:r>
    </w:p>
    <w:p w14:paraId="283E3D3F" w14:textId="77777777" w:rsidR="00DF7DEC" w:rsidRPr="0066596C" w:rsidRDefault="00DF7DEC" w:rsidP="00DF7DEC">
      <w:pPr>
        <w:pStyle w:val="Overskrift2"/>
        <w:spacing w:before="1"/>
        <w:rPr>
          <w:i/>
          <w:color w:val="000000" w:themeColor="text1"/>
        </w:rPr>
      </w:pPr>
    </w:p>
    <w:p w14:paraId="76C05261" w14:textId="77777777" w:rsidR="00DF7DEC" w:rsidRPr="00900771" w:rsidRDefault="00DF7DEC" w:rsidP="00DF7DEC">
      <w:pPr>
        <w:pStyle w:val="Overskrift2"/>
        <w:numPr>
          <w:ilvl w:val="0"/>
          <w:numId w:val="1"/>
        </w:numPr>
        <w:tabs>
          <w:tab w:val="num" w:pos="360"/>
        </w:tabs>
        <w:spacing w:before="10"/>
        <w:ind w:left="332" w:firstLine="0"/>
        <w:rPr>
          <w:b w:val="0"/>
          <w:color w:val="000000" w:themeColor="text1"/>
        </w:rPr>
      </w:pPr>
      <w:r w:rsidRPr="00900771">
        <w:rPr>
          <w:b w:val="0"/>
          <w:color w:val="000000" w:themeColor="text1"/>
        </w:rPr>
        <w:t>Når et tilbud lukkes af Socialtilsynet eller anden offentlig myndighed. Her påhviler et eventuelt underskud efter lukning af tilbuddet alene driftsherren.</w:t>
      </w:r>
    </w:p>
    <w:p w14:paraId="4B2551CB" w14:textId="77777777" w:rsidR="00DF7DEC" w:rsidRPr="00900771" w:rsidRDefault="00DF7DEC" w:rsidP="00DF7DEC">
      <w:pPr>
        <w:pStyle w:val="Overskrift2"/>
        <w:numPr>
          <w:ilvl w:val="0"/>
          <w:numId w:val="1"/>
        </w:numPr>
        <w:tabs>
          <w:tab w:val="num" w:pos="360"/>
        </w:tabs>
        <w:spacing w:before="1"/>
        <w:ind w:left="332" w:firstLine="0"/>
        <w:rPr>
          <w:b w:val="0"/>
          <w:bCs w:val="0"/>
          <w:color w:val="000000" w:themeColor="text1"/>
        </w:rPr>
      </w:pPr>
      <w:r w:rsidRPr="00900771">
        <w:rPr>
          <w:b w:val="0"/>
          <w:bCs w:val="0"/>
          <w:color w:val="000000" w:themeColor="text1"/>
        </w:rPr>
        <w:t>Ved flytning af et tilbud samt ved sammenlægning, idet dette ikke betragtes som en lukning.</w:t>
      </w:r>
    </w:p>
    <w:p w14:paraId="71BFAAA4" w14:textId="77777777" w:rsidR="00DF7DEC" w:rsidRPr="00900771" w:rsidRDefault="00DF7DEC" w:rsidP="00DF7DEC">
      <w:pPr>
        <w:pStyle w:val="Overskrift2"/>
        <w:spacing w:before="1"/>
        <w:ind w:left="0"/>
        <w:rPr>
          <w:b w:val="0"/>
          <w:bCs w:val="0"/>
          <w:color w:val="000000" w:themeColor="text1"/>
        </w:rPr>
      </w:pPr>
    </w:p>
    <w:p w14:paraId="610243DF" w14:textId="77777777" w:rsidR="00DF7DEC" w:rsidRPr="00900771" w:rsidRDefault="00DF7DEC" w:rsidP="00DF7DEC">
      <w:pPr>
        <w:pStyle w:val="Overskrift2"/>
        <w:spacing w:before="1"/>
        <w:ind w:left="0"/>
        <w:rPr>
          <w:b w:val="0"/>
          <w:bCs w:val="0"/>
          <w:i/>
          <w:iCs/>
          <w:color w:val="000000" w:themeColor="text1"/>
          <w:u w:val="single"/>
        </w:rPr>
      </w:pPr>
      <w:r w:rsidRPr="00900771">
        <w:rPr>
          <w:b w:val="0"/>
          <w:bCs w:val="0"/>
          <w:i/>
          <w:iCs/>
          <w:color w:val="000000" w:themeColor="text1"/>
          <w:u w:val="single"/>
        </w:rPr>
        <w:t>Lukning af et selvstændigt tilbud</w:t>
      </w:r>
    </w:p>
    <w:p w14:paraId="2EF2AA3D" w14:textId="77777777" w:rsidR="00DF7DEC" w:rsidRPr="00900771" w:rsidRDefault="00DF7DEC" w:rsidP="00DF7DEC">
      <w:pPr>
        <w:pStyle w:val="Overskrift2"/>
        <w:spacing w:before="1"/>
        <w:ind w:left="0"/>
        <w:rPr>
          <w:b w:val="0"/>
          <w:bCs w:val="0"/>
          <w:color w:val="000000" w:themeColor="text1"/>
        </w:rPr>
      </w:pPr>
      <w:r w:rsidRPr="00900771">
        <w:rPr>
          <w:b w:val="0"/>
          <w:bCs w:val="0"/>
          <w:color w:val="000000" w:themeColor="text1"/>
        </w:rPr>
        <w:t>Ved lukning af et selvstændigt tilbud</w:t>
      </w:r>
      <w:r>
        <w:rPr>
          <w:b w:val="0"/>
          <w:bCs w:val="0"/>
          <w:color w:val="000000" w:themeColor="text1"/>
        </w:rPr>
        <w:t>,</w:t>
      </w:r>
      <w:r w:rsidRPr="00900771">
        <w:rPr>
          <w:b w:val="0"/>
          <w:bCs w:val="0"/>
          <w:color w:val="000000" w:themeColor="text1"/>
        </w:rPr>
        <w:t xml:space="preserve"> skal driftsherre selv dække, hvad der svarer til 5 % af tilbuddets </w:t>
      </w:r>
      <w:r>
        <w:rPr>
          <w:b w:val="0"/>
          <w:bCs w:val="0"/>
          <w:color w:val="000000" w:themeColor="text1"/>
        </w:rPr>
        <w:t>omsætning</w:t>
      </w:r>
      <w:r w:rsidRPr="00900771">
        <w:rPr>
          <w:b w:val="0"/>
          <w:bCs w:val="0"/>
          <w:color w:val="000000" w:themeColor="text1"/>
        </w:rPr>
        <w:t xml:space="preserve"> i det år, hvor tilbuddet besluttes lukket.</w:t>
      </w:r>
      <w:r>
        <w:rPr>
          <w:b w:val="0"/>
          <w:bCs w:val="0"/>
          <w:color w:val="000000" w:themeColor="text1"/>
        </w:rPr>
        <w:t xml:space="preserve"> </w:t>
      </w:r>
      <w:r w:rsidRPr="00900771">
        <w:rPr>
          <w:b w:val="0"/>
          <w:bCs w:val="0"/>
          <w:color w:val="000000" w:themeColor="text1"/>
        </w:rPr>
        <w:t xml:space="preserve">Underskud ud over 5 % af tilbuddets </w:t>
      </w:r>
      <w:proofErr w:type="spellStart"/>
      <w:r>
        <w:rPr>
          <w:b w:val="0"/>
          <w:bCs w:val="0"/>
          <w:color w:val="000000" w:themeColor="text1"/>
        </w:rPr>
        <w:t>takstbaserede</w:t>
      </w:r>
      <w:proofErr w:type="spellEnd"/>
      <w:r>
        <w:rPr>
          <w:b w:val="0"/>
          <w:bCs w:val="0"/>
          <w:color w:val="000000" w:themeColor="text1"/>
        </w:rPr>
        <w:t xml:space="preserve"> omsætning</w:t>
      </w:r>
      <w:r w:rsidRPr="00900771">
        <w:rPr>
          <w:b w:val="0"/>
          <w:bCs w:val="0"/>
          <w:color w:val="000000" w:themeColor="text1"/>
        </w:rPr>
        <w:t>, i det år hvor tilbuddet besluttes lukket, kan efterreguleres. Eventuelle overførte overskud eller underskud skal indgå i beregningen, idet det tillægges årsresultatet. Dette gælder både overførs</w:t>
      </w:r>
      <w:r w:rsidRPr="00FF218A">
        <w:rPr>
          <w:b w:val="0"/>
          <w:bCs w:val="0"/>
          <w:color w:val="000000" w:themeColor="text1"/>
        </w:rPr>
        <w:t>l</w:t>
      </w:r>
      <w:r w:rsidRPr="00900771">
        <w:rPr>
          <w:b w:val="0"/>
          <w:bCs w:val="0"/>
          <w:color w:val="000000" w:themeColor="text1"/>
        </w:rPr>
        <w:t>er på tilbudsniveau og overførsler, der er hensat centralt. Se beregningseksempel 1.</w:t>
      </w:r>
    </w:p>
    <w:p w14:paraId="2E79B30A" w14:textId="77777777" w:rsidR="00DF7DEC" w:rsidRPr="00900771" w:rsidRDefault="00DF7DEC" w:rsidP="00DF7DEC">
      <w:pPr>
        <w:pStyle w:val="Overskrift2"/>
        <w:spacing w:before="1"/>
        <w:ind w:left="0"/>
        <w:rPr>
          <w:b w:val="0"/>
          <w:bCs w:val="0"/>
          <w:i/>
          <w:iCs/>
          <w:color w:val="000000" w:themeColor="text1"/>
        </w:rPr>
      </w:pPr>
    </w:p>
    <w:p w14:paraId="0DD6480C" w14:textId="77777777" w:rsidR="00DF7DEC" w:rsidRDefault="00DF7DEC" w:rsidP="00DF7DEC">
      <w:pPr>
        <w:rPr>
          <w:i/>
          <w:iCs/>
          <w:color w:val="000000" w:themeColor="text1"/>
        </w:rPr>
      </w:pPr>
      <w:r>
        <w:rPr>
          <w:i/>
          <w:iCs/>
          <w:color w:val="000000" w:themeColor="text1"/>
        </w:rPr>
        <w:br w:type="page"/>
      </w:r>
    </w:p>
    <w:p w14:paraId="7096BDC9" w14:textId="77777777" w:rsidR="00DF7DEC" w:rsidRPr="007F26BE" w:rsidRDefault="00DF7DEC" w:rsidP="00DF7DEC">
      <w:pPr>
        <w:pStyle w:val="Overskrift2"/>
        <w:spacing w:before="1"/>
        <w:ind w:left="0"/>
        <w:rPr>
          <w:i/>
          <w:iCs/>
          <w:color w:val="000000" w:themeColor="text1"/>
        </w:rPr>
      </w:pPr>
      <w:r w:rsidRPr="007F26BE">
        <w:rPr>
          <w:i/>
          <w:iCs/>
          <w:color w:val="000000" w:themeColor="text1"/>
        </w:rPr>
        <w:lastRenderedPageBreak/>
        <w:t>Beregningseksempel 1: Lukning af et selvstændigt tilbud:</w:t>
      </w:r>
    </w:p>
    <w:p w14:paraId="61FBC885" w14:textId="77777777" w:rsidR="00DF7DEC" w:rsidRPr="00900771" w:rsidRDefault="00DF7DEC" w:rsidP="00DF7DEC">
      <w:pPr>
        <w:pStyle w:val="Overskrift2"/>
        <w:spacing w:before="1"/>
        <w:ind w:left="0"/>
        <w:rPr>
          <w:b w:val="0"/>
          <w:bCs w:val="0"/>
          <w:color w:val="000000" w:themeColor="text1"/>
          <w:u w:val="single"/>
        </w:rPr>
      </w:pPr>
    </w:p>
    <w:tbl>
      <w:tblPr>
        <w:tblpPr w:leftFromText="141" w:rightFromText="141" w:vertAnchor="text" w:tblpY="1"/>
        <w:tblOverlap w:val="never"/>
        <w:tblW w:w="7026" w:type="dxa"/>
        <w:tblCellMar>
          <w:left w:w="70" w:type="dxa"/>
          <w:right w:w="70" w:type="dxa"/>
        </w:tblCellMar>
        <w:tblLook w:val="04A0" w:firstRow="1" w:lastRow="0" w:firstColumn="1" w:lastColumn="0" w:noHBand="0" w:noVBand="1"/>
      </w:tblPr>
      <w:tblGrid>
        <w:gridCol w:w="5467"/>
        <w:gridCol w:w="1559"/>
      </w:tblGrid>
      <w:tr w:rsidR="00DF7DEC" w:rsidRPr="00900771" w14:paraId="22F7576B" w14:textId="77777777" w:rsidTr="00601BC3">
        <w:trPr>
          <w:trHeight w:val="270"/>
        </w:trPr>
        <w:tc>
          <w:tcPr>
            <w:tcW w:w="5467" w:type="dxa"/>
            <w:tcBorders>
              <w:top w:val="single" w:sz="8" w:space="0" w:color="auto"/>
              <w:left w:val="single" w:sz="8" w:space="0" w:color="auto"/>
              <w:bottom w:val="single" w:sz="8" w:space="0" w:color="auto"/>
              <w:right w:val="nil"/>
            </w:tcBorders>
            <w:shd w:val="clear" w:color="auto" w:fill="auto"/>
            <w:noWrap/>
            <w:hideMark/>
          </w:tcPr>
          <w:p w14:paraId="134883F1" w14:textId="77777777" w:rsidR="00DF7DEC" w:rsidRPr="00AC7019" w:rsidRDefault="00DF7DEC" w:rsidP="00601BC3">
            <w:pPr>
              <w:widowControl/>
              <w:autoSpaceDE/>
              <w:autoSpaceDN/>
              <w:rPr>
                <w:rFonts w:eastAsia="Times New Roman"/>
                <w:color w:val="000000" w:themeColor="text1"/>
                <w:sz w:val="20"/>
                <w:szCs w:val="20"/>
                <w:lang w:eastAsia="da-DK"/>
              </w:rPr>
            </w:pPr>
            <w:proofErr w:type="spellStart"/>
            <w:r>
              <w:rPr>
                <w:rFonts w:eastAsia="Times New Roman"/>
                <w:color w:val="000000" w:themeColor="text1"/>
                <w:sz w:val="20"/>
                <w:szCs w:val="20"/>
                <w:lang w:eastAsia="da-DK"/>
              </w:rPr>
              <w:t>Takstbaseret</w:t>
            </w:r>
            <w:proofErr w:type="spellEnd"/>
            <w:r>
              <w:rPr>
                <w:rFonts w:eastAsia="Times New Roman"/>
                <w:color w:val="000000" w:themeColor="text1"/>
                <w:sz w:val="20"/>
                <w:szCs w:val="20"/>
                <w:lang w:eastAsia="da-DK"/>
              </w:rPr>
              <w:t xml:space="preserve"> omsætningen</w:t>
            </w:r>
            <w:r w:rsidRPr="00AC7019">
              <w:rPr>
                <w:rFonts w:eastAsia="Times New Roman"/>
                <w:color w:val="000000" w:themeColor="text1"/>
                <w:sz w:val="20"/>
                <w:szCs w:val="20"/>
                <w:lang w:eastAsia="da-DK"/>
              </w:rPr>
              <w:t xml:space="preserve"> i året for beslutnin</w:t>
            </w:r>
            <w:r>
              <w:rPr>
                <w:rFonts w:eastAsia="Times New Roman"/>
                <w:color w:val="000000" w:themeColor="text1"/>
                <w:sz w:val="20"/>
                <w:szCs w:val="20"/>
                <w:lang w:eastAsia="da-DK"/>
              </w:rPr>
              <w:t>g</w:t>
            </w:r>
          </w:p>
        </w:tc>
        <w:tc>
          <w:tcPr>
            <w:tcW w:w="1559" w:type="dxa"/>
            <w:tcBorders>
              <w:top w:val="single" w:sz="8" w:space="0" w:color="auto"/>
              <w:left w:val="nil"/>
              <w:bottom w:val="single" w:sz="8" w:space="0" w:color="auto"/>
              <w:right w:val="single" w:sz="8" w:space="0" w:color="auto"/>
            </w:tcBorders>
            <w:shd w:val="clear" w:color="auto" w:fill="auto"/>
            <w:noWrap/>
            <w:hideMark/>
          </w:tcPr>
          <w:p w14:paraId="5FFA5E0F" w14:textId="77777777" w:rsidR="00DF7DEC" w:rsidRPr="00AC7019" w:rsidRDefault="00DF7DEC" w:rsidP="00601BC3">
            <w:pPr>
              <w:widowControl/>
              <w:autoSpaceDE/>
              <w:autoSpaceDN/>
              <w:ind w:firstLine="72"/>
              <w:jc w:val="right"/>
              <w:rPr>
                <w:rFonts w:eastAsia="Times New Roman"/>
                <w:color w:val="000000" w:themeColor="text1"/>
                <w:sz w:val="20"/>
                <w:szCs w:val="20"/>
                <w:lang w:eastAsia="da-DK"/>
              </w:rPr>
            </w:pPr>
            <w:r w:rsidRPr="00AC7019">
              <w:rPr>
                <w:rFonts w:eastAsia="Times New Roman"/>
                <w:color w:val="000000" w:themeColor="text1"/>
                <w:sz w:val="20"/>
                <w:szCs w:val="20"/>
                <w:lang w:eastAsia="da-DK"/>
              </w:rPr>
              <w:t xml:space="preserve">20.000.000 </w:t>
            </w:r>
          </w:p>
        </w:tc>
      </w:tr>
      <w:tr w:rsidR="00DF7DEC" w:rsidRPr="00900771" w14:paraId="766E2955" w14:textId="77777777" w:rsidTr="00601BC3">
        <w:trPr>
          <w:trHeight w:val="255"/>
        </w:trPr>
        <w:tc>
          <w:tcPr>
            <w:tcW w:w="5467" w:type="dxa"/>
            <w:tcBorders>
              <w:top w:val="nil"/>
              <w:left w:val="single" w:sz="8" w:space="0" w:color="auto"/>
              <w:bottom w:val="nil"/>
              <w:right w:val="nil"/>
            </w:tcBorders>
            <w:shd w:val="clear" w:color="auto" w:fill="auto"/>
            <w:noWrap/>
            <w:hideMark/>
          </w:tcPr>
          <w:p w14:paraId="05E161EA" w14:textId="77777777" w:rsidR="00DF7DEC" w:rsidRPr="00AC7019" w:rsidRDefault="00DF7DEC" w:rsidP="00601BC3">
            <w:pPr>
              <w:widowControl/>
              <w:autoSpaceDE/>
              <w:autoSpaceDN/>
              <w:rPr>
                <w:rFonts w:eastAsia="Times New Roman"/>
                <w:color w:val="000000" w:themeColor="text1"/>
                <w:sz w:val="20"/>
                <w:szCs w:val="20"/>
                <w:lang w:eastAsia="da-DK"/>
              </w:rPr>
            </w:pPr>
            <w:r w:rsidRPr="00AC7019">
              <w:rPr>
                <w:rFonts w:eastAsia="Times New Roman"/>
                <w:color w:val="000000" w:themeColor="text1"/>
                <w:sz w:val="20"/>
                <w:szCs w:val="20"/>
                <w:lang w:eastAsia="da-DK"/>
              </w:rPr>
              <w:t>Indtægter</w:t>
            </w:r>
          </w:p>
        </w:tc>
        <w:tc>
          <w:tcPr>
            <w:tcW w:w="1559" w:type="dxa"/>
            <w:tcBorders>
              <w:top w:val="nil"/>
              <w:left w:val="nil"/>
              <w:bottom w:val="nil"/>
              <w:right w:val="single" w:sz="8" w:space="0" w:color="auto"/>
            </w:tcBorders>
            <w:shd w:val="clear" w:color="auto" w:fill="auto"/>
            <w:noWrap/>
            <w:hideMark/>
          </w:tcPr>
          <w:p w14:paraId="327610C5" w14:textId="77777777" w:rsidR="00DF7DEC" w:rsidRPr="00AC7019" w:rsidRDefault="00DF7DEC" w:rsidP="00601BC3">
            <w:pPr>
              <w:widowControl/>
              <w:autoSpaceDE/>
              <w:autoSpaceDN/>
              <w:jc w:val="right"/>
              <w:rPr>
                <w:rFonts w:eastAsia="Times New Roman"/>
                <w:color w:val="000000" w:themeColor="text1"/>
                <w:sz w:val="20"/>
                <w:szCs w:val="20"/>
                <w:lang w:eastAsia="da-DK"/>
              </w:rPr>
            </w:pPr>
            <w:r>
              <w:rPr>
                <w:rFonts w:eastAsia="Times New Roman"/>
                <w:color w:val="000000" w:themeColor="text1"/>
                <w:sz w:val="20"/>
                <w:szCs w:val="20"/>
                <w:lang w:eastAsia="da-DK"/>
              </w:rPr>
              <w:t>10.000.000</w:t>
            </w:r>
          </w:p>
        </w:tc>
      </w:tr>
      <w:tr w:rsidR="00DF7DEC" w:rsidRPr="00900771" w14:paraId="22F2E828" w14:textId="77777777" w:rsidTr="00601BC3">
        <w:trPr>
          <w:trHeight w:val="255"/>
        </w:trPr>
        <w:tc>
          <w:tcPr>
            <w:tcW w:w="5467" w:type="dxa"/>
            <w:tcBorders>
              <w:top w:val="nil"/>
              <w:left w:val="single" w:sz="8" w:space="0" w:color="auto"/>
              <w:bottom w:val="nil"/>
              <w:right w:val="nil"/>
            </w:tcBorders>
            <w:shd w:val="clear" w:color="auto" w:fill="auto"/>
            <w:noWrap/>
            <w:hideMark/>
          </w:tcPr>
          <w:p w14:paraId="7B34A4ED" w14:textId="77777777" w:rsidR="00DF7DEC" w:rsidRPr="00AC7019" w:rsidRDefault="00DF7DEC" w:rsidP="00601BC3">
            <w:pPr>
              <w:widowControl/>
              <w:autoSpaceDE/>
              <w:autoSpaceDN/>
              <w:rPr>
                <w:rFonts w:eastAsia="Times New Roman"/>
                <w:color w:val="000000" w:themeColor="text1"/>
                <w:sz w:val="20"/>
                <w:szCs w:val="20"/>
                <w:lang w:eastAsia="da-DK"/>
              </w:rPr>
            </w:pPr>
            <w:r w:rsidRPr="00AC7019">
              <w:rPr>
                <w:rFonts w:eastAsia="Times New Roman"/>
                <w:color w:val="000000" w:themeColor="text1"/>
                <w:sz w:val="20"/>
                <w:szCs w:val="20"/>
                <w:lang w:eastAsia="da-DK"/>
              </w:rPr>
              <w:t>Omkostninger</w:t>
            </w:r>
          </w:p>
        </w:tc>
        <w:tc>
          <w:tcPr>
            <w:tcW w:w="1559" w:type="dxa"/>
            <w:tcBorders>
              <w:top w:val="nil"/>
              <w:left w:val="nil"/>
              <w:bottom w:val="nil"/>
              <w:right w:val="single" w:sz="8" w:space="0" w:color="auto"/>
            </w:tcBorders>
            <w:shd w:val="clear" w:color="auto" w:fill="auto"/>
            <w:noWrap/>
            <w:hideMark/>
          </w:tcPr>
          <w:p w14:paraId="2DA80C76" w14:textId="77777777" w:rsidR="00DF7DEC" w:rsidRPr="00AC7019" w:rsidRDefault="00DF7DEC" w:rsidP="00601BC3">
            <w:pPr>
              <w:widowControl/>
              <w:autoSpaceDE/>
              <w:autoSpaceDN/>
              <w:jc w:val="right"/>
              <w:rPr>
                <w:rFonts w:eastAsia="Times New Roman"/>
                <w:color w:val="000000" w:themeColor="text1"/>
                <w:sz w:val="20"/>
                <w:szCs w:val="20"/>
                <w:lang w:eastAsia="da-DK"/>
              </w:rPr>
            </w:pPr>
            <w:r>
              <w:rPr>
                <w:rFonts w:eastAsia="Times New Roman"/>
                <w:color w:val="000000" w:themeColor="text1"/>
                <w:sz w:val="20"/>
                <w:szCs w:val="20"/>
                <w:lang w:eastAsia="da-DK"/>
              </w:rPr>
              <w:t>14.000.000</w:t>
            </w:r>
          </w:p>
        </w:tc>
      </w:tr>
      <w:tr w:rsidR="00DF7DEC" w:rsidRPr="00900771" w14:paraId="5C7E8476" w14:textId="77777777" w:rsidTr="00601BC3">
        <w:trPr>
          <w:trHeight w:val="270"/>
        </w:trPr>
        <w:tc>
          <w:tcPr>
            <w:tcW w:w="5467" w:type="dxa"/>
            <w:tcBorders>
              <w:top w:val="single" w:sz="4" w:space="0" w:color="auto"/>
              <w:left w:val="single" w:sz="8" w:space="0" w:color="auto"/>
              <w:bottom w:val="single" w:sz="8" w:space="0" w:color="auto"/>
              <w:right w:val="nil"/>
            </w:tcBorders>
            <w:shd w:val="clear" w:color="auto" w:fill="auto"/>
            <w:noWrap/>
            <w:hideMark/>
          </w:tcPr>
          <w:p w14:paraId="5BC0FF7A" w14:textId="77777777" w:rsidR="00DF7DEC" w:rsidRPr="00AC7019" w:rsidRDefault="00DF7DEC" w:rsidP="00601BC3">
            <w:pPr>
              <w:widowControl/>
              <w:autoSpaceDE/>
              <w:autoSpaceDN/>
              <w:rPr>
                <w:rFonts w:eastAsia="Times New Roman"/>
                <w:color w:val="000000" w:themeColor="text1"/>
                <w:sz w:val="20"/>
                <w:szCs w:val="20"/>
                <w:lang w:eastAsia="da-DK"/>
              </w:rPr>
            </w:pPr>
            <w:r w:rsidRPr="00AC7019">
              <w:rPr>
                <w:rFonts w:eastAsia="Times New Roman"/>
                <w:color w:val="000000" w:themeColor="text1"/>
                <w:sz w:val="20"/>
                <w:szCs w:val="20"/>
                <w:lang w:eastAsia="da-DK"/>
              </w:rPr>
              <w:t>Årsresultat</w:t>
            </w:r>
          </w:p>
        </w:tc>
        <w:tc>
          <w:tcPr>
            <w:tcW w:w="1559" w:type="dxa"/>
            <w:tcBorders>
              <w:top w:val="single" w:sz="4" w:space="0" w:color="auto"/>
              <w:left w:val="nil"/>
              <w:bottom w:val="single" w:sz="8" w:space="0" w:color="auto"/>
              <w:right w:val="single" w:sz="8" w:space="0" w:color="auto"/>
            </w:tcBorders>
            <w:shd w:val="clear" w:color="auto" w:fill="auto"/>
            <w:noWrap/>
            <w:hideMark/>
          </w:tcPr>
          <w:p w14:paraId="1615C6F6" w14:textId="77777777" w:rsidR="00DF7DEC" w:rsidRPr="00AC7019" w:rsidRDefault="00DF7DEC" w:rsidP="00601BC3">
            <w:pPr>
              <w:widowControl/>
              <w:autoSpaceDE/>
              <w:autoSpaceDN/>
              <w:jc w:val="right"/>
              <w:rPr>
                <w:rFonts w:eastAsia="Times New Roman"/>
                <w:color w:val="000000" w:themeColor="text1"/>
                <w:sz w:val="20"/>
                <w:szCs w:val="20"/>
                <w:lang w:eastAsia="da-DK"/>
              </w:rPr>
            </w:pPr>
            <w:r>
              <w:rPr>
                <w:rFonts w:eastAsia="Times New Roman"/>
                <w:color w:val="000000" w:themeColor="text1"/>
                <w:sz w:val="20"/>
                <w:szCs w:val="20"/>
                <w:lang w:eastAsia="da-DK"/>
              </w:rPr>
              <w:t>-4.000.000</w:t>
            </w:r>
          </w:p>
        </w:tc>
      </w:tr>
      <w:tr w:rsidR="00DF7DEC" w:rsidRPr="00900771" w14:paraId="1B21F507" w14:textId="77777777" w:rsidTr="00601BC3">
        <w:trPr>
          <w:trHeight w:val="270"/>
        </w:trPr>
        <w:tc>
          <w:tcPr>
            <w:tcW w:w="5467" w:type="dxa"/>
            <w:tcBorders>
              <w:top w:val="single" w:sz="4" w:space="0" w:color="auto"/>
              <w:left w:val="single" w:sz="8" w:space="0" w:color="auto"/>
              <w:bottom w:val="single" w:sz="8" w:space="0" w:color="auto"/>
              <w:right w:val="nil"/>
            </w:tcBorders>
            <w:shd w:val="clear" w:color="auto" w:fill="auto"/>
            <w:noWrap/>
          </w:tcPr>
          <w:p w14:paraId="7CAC8C70" w14:textId="77777777" w:rsidR="00DF7DEC" w:rsidRPr="00AC7019" w:rsidRDefault="00DF7DEC" w:rsidP="00601BC3">
            <w:pPr>
              <w:widowControl/>
              <w:autoSpaceDE/>
              <w:autoSpaceDN/>
              <w:rPr>
                <w:rFonts w:eastAsia="Times New Roman"/>
                <w:color w:val="000000" w:themeColor="text1"/>
                <w:sz w:val="20"/>
                <w:szCs w:val="20"/>
                <w:lang w:eastAsia="da-DK"/>
              </w:rPr>
            </w:pPr>
            <w:r w:rsidRPr="00AC7019">
              <w:rPr>
                <w:rFonts w:eastAsia="Times New Roman"/>
                <w:color w:val="000000" w:themeColor="text1"/>
                <w:sz w:val="20"/>
                <w:szCs w:val="20"/>
                <w:lang w:eastAsia="da-DK"/>
              </w:rPr>
              <w:t>Overført fra tidligere år</w:t>
            </w:r>
          </w:p>
        </w:tc>
        <w:tc>
          <w:tcPr>
            <w:tcW w:w="1559" w:type="dxa"/>
            <w:tcBorders>
              <w:top w:val="single" w:sz="4" w:space="0" w:color="auto"/>
              <w:left w:val="nil"/>
              <w:bottom w:val="single" w:sz="8" w:space="0" w:color="auto"/>
              <w:right w:val="single" w:sz="8" w:space="0" w:color="auto"/>
            </w:tcBorders>
            <w:shd w:val="clear" w:color="auto" w:fill="auto"/>
            <w:noWrap/>
          </w:tcPr>
          <w:p w14:paraId="0294A245" w14:textId="77777777" w:rsidR="00DF7DEC" w:rsidRPr="00AC7019" w:rsidRDefault="00DF7DEC" w:rsidP="00601BC3">
            <w:pPr>
              <w:widowControl/>
              <w:autoSpaceDE/>
              <w:autoSpaceDN/>
              <w:jc w:val="right"/>
              <w:rPr>
                <w:rFonts w:eastAsia="Times New Roman"/>
                <w:color w:val="000000" w:themeColor="text1"/>
                <w:sz w:val="20"/>
                <w:szCs w:val="20"/>
                <w:lang w:eastAsia="da-DK"/>
              </w:rPr>
            </w:pPr>
            <w:r>
              <w:rPr>
                <w:rFonts w:eastAsia="Times New Roman"/>
                <w:color w:val="000000" w:themeColor="text1"/>
                <w:sz w:val="20"/>
                <w:szCs w:val="20"/>
                <w:lang w:eastAsia="da-DK"/>
              </w:rPr>
              <w:t>-1.000.000</w:t>
            </w:r>
            <w:r w:rsidRPr="00AC7019">
              <w:rPr>
                <w:rFonts w:eastAsia="Times New Roman"/>
                <w:color w:val="000000" w:themeColor="text1"/>
                <w:sz w:val="20"/>
                <w:szCs w:val="20"/>
                <w:lang w:eastAsia="da-DK"/>
              </w:rPr>
              <w:t xml:space="preserve"> </w:t>
            </w:r>
          </w:p>
        </w:tc>
      </w:tr>
      <w:tr w:rsidR="00DF7DEC" w:rsidRPr="00900771" w14:paraId="13FBAF3A" w14:textId="77777777" w:rsidTr="00601BC3">
        <w:trPr>
          <w:trHeight w:val="270"/>
        </w:trPr>
        <w:tc>
          <w:tcPr>
            <w:tcW w:w="5467" w:type="dxa"/>
            <w:tcBorders>
              <w:top w:val="single" w:sz="4" w:space="0" w:color="auto"/>
              <w:left w:val="single" w:sz="8" w:space="0" w:color="auto"/>
              <w:bottom w:val="single" w:sz="8" w:space="0" w:color="auto"/>
              <w:right w:val="nil"/>
            </w:tcBorders>
            <w:shd w:val="clear" w:color="auto" w:fill="auto"/>
            <w:noWrap/>
          </w:tcPr>
          <w:p w14:paraId="00C1DDB9" w14:textId="77777777" w:rsidR="00DF7DEC" w:rsidRPr="00AC7019" w:rsidRDefault="00DF7DEC" w:rsidP="00601BC3">
            <w:pPr>
              <w:widowControl/>
              <w:autoSpaceDE/>
              <w:autoSpaceDN/>
              <w:rPr>
                <w:rFonts w:eastAsia="Times New Roman"/>
                <w:color w:val="000000" w:themeColor="text1"/>
                <w:sz w:val="20"/>
                <w:szCs w:val="20"/>
                <w:lang w:eastAsia="da-DK"/>
              </w:rPr>
            </w:pPr>
            <w:r w:rsidRPr="00AC7019">
              <w:rPr>
                <w:rFonts w:eastAsia="Times New Roman"/>
                <w:color w:val="000000" w:themeColor="text1"/>
                <w:sz w:val="20"/>
                <w:szCs w:val="20"/>
                <w:lang w:eastAsia="da-DK"/>
              </w:rPr>
              <w:t>Til fordeling</w:t>
            </w:r>
          </w:p>
        </w:tc>
        <w:tc>
          <w:tcPr>
            <w:tcW w:w="1559" w:type="dxa"/>
            <w:tcBorders>
              <w:top w:val="single" w:sz="4" w:space="0" w:color="auto"/>
              <w:left w:val="nil"/>
              <w:bottom w:val="single" w:sz="8" w:space="0" w:color="auto"/>
              <w:right w:val="single" w:sz="8" w:space="0" w:color="auto"/>
            </w:tcBorders>
            <w:shd w:val="clear" w:color="auto" w:fill="auto"/>
            <w:noWrap/>
          </w:tcPr>
          <w:p w14:paraId="2863B3F6" w14:textId="77777777" w:rsidR="00DF7DEC" w:rsidRPr="00AC7019" w:rsidRDefault="00DF7DEC" w:rsidP="00601BC3">
            <w:pPr>
              <w:widowControl/>
              <w:autoSpaceDE/>
              <w:autoSpaceDN/>
              <w:jc w:val="right"/>
              <w:rPr>
                <w:rFonts w:eastAsia="Times New Roman"/>
                <w:color w:val="000000" w:themeColor="text1"/>
                <w:sz w:val="20"/>
                <w:szCs w:val="20"/>
                <w:lang w:eastAsia="da-DK"/>
              </w:rPr>
            </w:pPr>
            <w:r>
              <w:rPr>
                <w:rFonts w:eastAsia="Times New Roman"/>
                <w:color w:val="000000" w:themeColor="text1"/>
                <w:sz w:val="20"/>
                <w:szCs w:val="20"/>
                <w:lang w:eastAsia="da-DK"/>
              </w:rPr>
              <w:t>-5.000.000</w:t>
            </w:r>
          </w:p>
        </w:tc>
      </w:tr>
      <w:tr w:rsidR="00DF7DEC" w:rsidRPr="00900771" w14:paraId="33FA3056" w14:textId="77777777" w:rsidTr="00601BC3">
        <w:trPr>
          <w:trHeight w:val="255"/>
        </w:trPr>
        <w:tc>
          <w:tcPr>
            <w:tcW w:w="5467" w:type="dxa"/>
            <w:tcBorders>
              <w:top w:val="nil"/>
              <w:left w:val="single" w:sz="8" w:space="0" w:color="auto"/>
              <w:bottom w:val="nil"/>
              <w:right w:val="nil"/>
            </w:tcBorders>
            <w:shd w:val="clear" w:color="auto" w:fill="auto"/>
            <w:noWrap/>
            <w:hideMark/>
          </w:tcPr>
          <w:p w14:paraId="397DEE4B" w14:textId="77777777" w:rsidR="00DF7DEC" w:rsidRPr="00AC7019" w:rsidRDefault="00DF7DEC" w:rsidP="00601BC3">
            <w:pPr>
              <w:widowControl/>
              <w:autoSpaceDE/>
              <w:autoSpaceDN/>
              <w:rPr>
                <w:rFonts w:eastAsia="Times New Roman"/>
                <w:color w:val="000000" w:themeColor="text1"/>
                <w:sz w:val="20"/>
                <w:szCs w:val="20"/>
                <w:lang w:eastAsia="da-DK"/>
              </w:rPr>
            </w:pPr>
            <w:r w:rsidRPr="00AC7019">
              <w:rPr>
                <w:rFonts w:eastAsia="Times New Roman"/>
                <w:color w:val="000000" w:themeColor="text1"/>
                <w:sz w:val="20"/>
                <w:szCs w:val="20"/>
                <w:lang w:eastAsia="da-DK"/>
              </w:rPr>
              <w:t>Selvrisiko (5% af 20.000.000 kr.)</w:t>
            </w:r>
          </w:p>
        </w:tc>
        <w:tc>
          <w:tcPr>
            <w:tcW w:w="1559" w:type="dxa"/>
            <w:tcBorders>
              <w:top w:val="nil"/>
              <w:left w:val="nil"/>
              <w:bottom w:val="nil"/>
              <w:right w:val="single" w:sz="8" w:space="0" w:color="auto"/>
            </w:tcBorders>
            <w:shd w:val="clear" w:color="auto" w:fill="auto"/>
            <w:noWrap/>
            <w:hideMark/>
          </w:tcPr>
          <w:p w14:paraId="2F2B8781" w14:textId="77777777" w:rsidR="00DF7DEC" w:rsidRPr="00AC7019" w:rsidRDefault="00DF7DEC" w:rsidP="00601BC3">
            <w:pPr>
              <w:widowControl/>
              <w:autoSpaceDE/>
              <w:autoSpaceDN/>
              <w:jc w:val="right"/>
              <w:rPr>
                <w:rFonts w:eastAsia="Times New Roman"/>
                <w:color w:val="000000" w:themeColor="text1"/>
                <w:sz w:val="20"/>
                <w:szCs w:val="20"/>
                <w:lang w:eastAsia="da-DK"/>
              </w:rPr>
            </w:pPr>
            <w:r>
              <w:rPr>
                <w:rFonts w:eastAsia="Times New Roman"/>
                <w:color w:val="000000" w:themeColor="text1"/>
                <w:sz w:val="20"/>
                <w:szCs w:val="20"/>
                <w:lang w:eastAsia="da-DK"/>
              </w:rPr>
              <w:t>1.000.000</w:t>
            </w:r>
          </w:p>
        </w:tc>
      </w:tr>
      <w:tr w:rsidR="00DF7DEC" w:rsidRPr="00900771" w14:paraId="3A3DD2C5" w14:textId="77777777" w:rsidTr="00601BC3">
        <w:trPr>
          <w:trHeight w:val="270"/>
        </w:trPr>
        <w:tc>
          <w:tcPr>
            <w:tcW w:w="5467" w:type="dxa"/>
            <w:tcBorders>
              <w:top w:val="nil"/>
              <w:left w:val="single" w:sz="8" w:space="0" w:color="auto"/>
              <w:bottom w:val="nil"/>
              <w:right w:val="nil"/>
            </w:tcBorders>
            <w:shd w:val="clear" w:color="auto" w:fill="auto"/>
            <w:noWrap/>
            <w:hideMark/>
          </w:tcPr>
          <w:p w14:paraId="201D303B" w14:textId="77777777" w:rsidR="00DF7DEC" w:rsidRPr="00AC7019" w:rsidRDefault="00DF7DEC" w:rsidP="00601BC3">
            <w:pPr>
              <w:widowControl/>
              <w:autoSpaceDE/>
              <w:autoSpaceDN/>
              <w:rPr>
                <w:rFonts w:eastAsia="Times New Roman"/>
                <w:color w:val="000000" w:themeColor="text1"/>
                <w:sz w:val="20"/>
                <w:szCs w:val="20"/>
                <w:lang w:eastAsia="da-DK"/>
              </w:rPr>
            </w:pPr>
            <w:r w:rsidRPr="00AC7019">
              <w:rPr>
                <w:rFonts w:eastAsia="Times New Roman"/>
                <w:color w:val="000000" w:themeColor="text1"/>
                <w:sz w:val="20"/>
                <w:szCs w:val="20"/>
                <w:lang w:eastAsia="da-DK"/>
              </w:rPr>
              <w:t>Til fordeling</w:t>
            </w:r>
          </w:p>
        </w:tc>
        <w:tc>
          <w:tcPr>
            <w:tcW w:w="1559" w:type="dxa"/>
            <w:tcBorders>
              <w:top w:val="nil"/>
              <w:left w:val="nil"/>
              <w:bottom w:val="nil"/>
              <w:right w:val="single" w:sz="8" w:space="0" w:color="auto"/>
            </w:tcBorders>
            <w:shd w:val="clear" w:color="auto" w:fill="auto"/>
            <w:noWrap/>
            <w:hideMark/>
          </w:tcPr>
          <w:p w14:paraId="1AD00ADF" w14:textId="77777777" w:rsidR="00DF7DEC" w:rsidRPr="00AC7019" w:rsidRDefault="00DF7DEC" w:rsidP="00601BC3">
            <w:pPr>
              <w:widowControl/>
              <w:autoSpaceDE/>
              <w:autoSpaceDN/>
              <w:jc w:val="right"/>
              <w:rPr>
                <w:rFonts w:eastAsia="Times New Roman"/>
                <w:color w:val="000000" w:themeColor="text1"/>
                <w:sz w:val="20"/>
                <w:szCs w:val="20"/>
                <w:lang w:eastAsia="da-DK"/>
              </w:rPr>
            </w:pPr>
            <w:r>
              <w:rPr>
                <w:rFonts w:eastAsia="Times New Roman"/>
                <w:color w:val="000000" w:themeColor="text1"/>
                <w:sz w:val="20"/>
                <w:szCs w:val="20"/>
                <w:lang w:eastAsia="da-DK"/>
              </w:rPr>
              <w:t>4.000.000</w:t>
            </w:r>
          </w:p>
        </w:tc>
      </w:tr>
      <w:tr w:rsidR="00DF7DEC" w:rsidRPr="00900771" w14:paraId="5F871797" w14:textId="77777777" w:rsidTr="00601BC3">
        <w:trPr>
          <w:trHeight w:val="255"/>
        </w:trPr>
        <w:tc>
          <w:tcPr>
            <w:tcW w:w="5467" w:type="dxa"/>
            <w:tcBorders>
              <w:top w:val="single" w:sz="8" w:space="0" w:color="auto"/>
              <w:left w:val="single" w:sz="8" w:space="0" w:color="auto"/>
              <w:bottom w:val="single" w:sz="4" w:space="0" w:color="auto"/>
              <w:right w:val="nil"/>
            </w:tcBorders>
            <w:shd w:val="clear" w:color="auto" w:fill="auto"/>
            <w:noWrap/>
            <w:hideMark/>
          </w:tcPr>
          <w:p w14:paraId="70CBAD86" w14:textId="77777777" w:rsidR="00DF7DEC" w:rsidRPr="00AC7019" w:rsidRDefault="00DF7DEC" w:rsidP="00601BC3">
            <w:pPr>
              <w:widowControl/>
              <w:autoSpaceDE/>
              <w:autoSpaceDN/>
              <w:rPr>
                <w:rFonts w:eastAsia="Times New Roman"/>
                <w:color w:val="000000" w:themeColor="text1"/>
                <w:sz w:val="20"/>
                <w:szCs w:val="20"/>
                <w:lang w:eastAsia="da-DK"/>
              </w:rPr>
            </w:pPr>
            <w:r w:rsidRPr="00AC7019">
              <w:rPr>
                <w:rFonts w:eastAsia="Times New Roman"/>
                <w:color w:val="000000" w:themeColor="text1"/>
                <w:sz w:val="20"/>
                <w:szCs w:val="20"/>
                <w:lang w:eastAsia="da-DK"/>
              </w:rPr>
              <w:t>Driftsherres andel pba. forbrugte pladser (33 %)</w:t>
            </w:r>
            <w:r w:rsidRPr="00AC7019">
              <w:rPr>
                <w:rStyle w:val="Fodnotehenvisning"/>
                <w:rFonts w:eastAsia="Times New Roman"/>
                <w:color w:val="000000" w:themeColor="text1"/>
                <w:sz w:val="20"/>
                <w:szCs w:val="20"/>
                <w:lang w:eastAsia="da-DK"/>
              </w:rPr>
              <w:footnoteReference w:id="3"/>
            </w:r>
          </w:p>
        </w:tc>
        <w:tc>
          <w:tcPr>
            <w:tcW w:w="1559" w:type="dxa"/>
            <w:tcBorders>
              <w:top w:val="single" w:sz="8" w:space="0" w:color="auto"/>
              <w:left w:val="nil"/>
              <w:bottom w:val="single" w:sz="4" w:space="0" w:color="auto"/>
              <w:right w:val="single" w:sz="8" w:space="0" w:color="auto"/>
            </w:tcBorders>
            <w:shd w:val="clear" w:color="auto" w:fill="auto"/>
            <w:noWrap/>
            <w:hideMark/>
          </w:tcPr>
          <w:p w14:paraId="50CCE557" w14:textId="77777777" w:rsidR="00DF7DEC" w:rsidRPr="00AC7019" w:rsidRDefault="00DF7DEC" w:rsidP="00601BC3">
            <w:pPr>
              <w:widowControl/>
              <w:autoSpaceDE/>
              <w:autoSpaceDN/>
              <w:jc w:val="right"/>
              <w:rPr>
                <w:rFonts w:eastAsia="Times New Roman"/>
                <w:color w:val="000000" w:themeColor="text1"/>
                <w:sz w:val="20"/>
                <w:szCs w:val="20"/>
                <w:lang w:eastAsia="da-DK"/>
              </w:rPr>
            </w:pPr>
            <w:r>
              <w:rPr>
                <w:rFonts w:eastAsia="Times New Roman"/>
                <w:color w:val="000000" w:themeColor="text1"/>
                <w:sz w:val="20"/>
                <w:szCs w:val="20"/>
                <w:lang w:eastAsia="da-DK"/>
              </w:rPr>
              <w:t>1.320.000</w:t>
            </w:r>
          </w:p>
        </w:tc>
      </w:tr>
      <w:tr w:rsidR="00DF7DEC" w:rsidRPr="00900771" w14:paraId="7844DA57" w14:textId="77777777" w:rsidTr="00601BC3">
        <w:trPr>
          <w:trHeight w:val="255"/>
        </w:trPr>
        <w:tc>
          <w:tcPr>
            <w:tcW w:w="5467" w:type="dxa"/>
            <w:tcBorders>
              <w:top w:val="single" w:sz="4" w:space="0" w:color="auto"/>
              <w:left w:val="single" w:sz="4" w:space="0" w:color="auto"/>
              <w:bottom w:val="single" w:sz="4" w:space="0" w:color="auto"/>
            </w:tcBorders>
            <w:shd w:val="clear" w:color="auto" w:fill="auto"/>
            <w:noWrap/>
          </w:tcPr>
          <w:p w14:paraId="5CA0E5A7" w14:textId="77777777" w:rsidR="00DF7DEC" w:rsidRPr="00AC7019" w:rsidRDefault="00DF7DEC" w:rsidP="00601BC3">
            <w:pPr>
              <w:widowControl/>
              <w:autoSpaceDE/>
              <w:autoSpaceDN/>
              <w:rPr>
                <w:rFonts w:eastAsia="Times New Roman"/>
                <w:color w:val="000000" w:themeColor="text1"/>
                <w:sz w:val="20"/>
                <w:szCs w:val="20"/>
                <w:lang w:eastAsia="da-DK"/>
              </w:rPr>
            </w:pPr>
            <w:r w:rsidRPr="00AC7019">
              <w:rPr>
                <w:rFonts w:eastAsia="Times New Roman"/>
                <w:color w:val="000000" w:themeColor="text1"/>
                <w:sz w:val="20"/>
                <w:szCs w:val="20"/>
                <w:lang w:eastAsia="da-DK"/>
              </w:rPr>
              <w:t>Betalingskommuners andel pba. forbrugte pladser</w:t>
            </w:r>
          </w:p>
        </w:tc>
        <w:tc>
          <w:tcPr>
            <w:tcW w:w="1559" w:type="dxa"/>
            <w:tcBorders>
              <w:top w:val="single" w:sz="4" w:space="0" w:color="auto"/>
              <w:bottom w:val="single" w:sz="4" w:space="0" w:color="auto"/>
              <w:right w:val="single" w:sz="4" w:space="0" w:color="auto"/>
            </w:tcBorders>
            <w:shd w:val="clear" w:color="auto" w:fill="auto"/>
            <w:noWrap/>
          </w:tcPr>
          <w:p w14:paraId="239723CB" w14:textId="77777777" w:rsidR="00DF7DEC" w:rsidRPr="00AC7019" w:rsidRDefault="00DF7DEC" w:rsidP="00601BC3">
            <w:pPr>
              <w:widowControl/>
              <w:autoSpaceDE/>
              <w:autoSpaceDN/>
              <w:jc w:val="right"/>
              <w:rPr>
                <w:rFonts w:eastAsia="Times New Roman"/>
                <w:color w:val="000000" w:themeColor="text1"/>
                <w:sz w:val="20"/>
                <w:szCs w:val="20"/>
                <w:lang w:eastAsia="da-DK"/>
              </w:rPr>
            </w:pPr>
            <w:r>
              <w:rPr>
                <w:rFonts w:eastAsia="Times New Roman"/>
                <w:color w:val="000000" w:themeColor="text1"/>
                <w:sz w:val="20"/>
                <w:szCs w:val="20"/>
                <w:lang w:eastAsia="da-DK"/>
              </w:rPr>
              <w:t>2.680.000</w:t>
            </w:r>
          </w:p>
        </w:tc>
      </w:tr>
      <w:tr w:rsidR="00DF7DEC" w:rsidRPr="00900771" w14:paraId="69450DBC" w14:textId="77777777" w:rsidTr="00601BC3">
        <w:trPr>
          <w:trHeight w:val="270"/>
        </w:trPr>
        <w:tc>
          <w:tcPr>
            <w:tcW w:w="5467" w:type="dxa"/>
            <w:tcBorders>
              <w:top w:val="single" w:sz="4" w:space="0" w:color="auto"/>
              <w:left w:val="single" w:sz="8" w:space="0" w:color="auto"/>
              <w:bottom w:val="single" w:sz="8" w:space="0" w:color="auto"/>
              <w:right w:val="nil"/>
            </w:tcBorders>
            <w:shd w:val="clear" w:color="auto" w:fill="auto"/>
            <w:noWrap/>
            <w:hideMark/>
          </w:tcPr>
          <w:p w14:paraId="04793345" w14:textId="77777777" w:rsidR="00DF7DEC" w:rsidRPr="00AC7019" w:rsidRDefault="00DF7DEC" w:rsidP="00601BC3">
            <w:pPr>
              <w:widowControl/>
              <w:autoSpaceDE/>
              <w:autoSpaceDN/>
              <w:rPr>
                <w:rFonts w:eastAsia="Times New Roman"/>
                <w:color w:val="000000" w:themeColor="text1"/>
                <w:sz w:val="20"/>
                <w:szCs w:val="20"/>
                <w:lang w:eastAsia="da-DK"/>
              </w:rPr>
            </w:pPr>
            <w:r w:rsidRPr="00AC7019">
              <w:rPr>
                <w:rFonts w:eastAsia="Times New Roman"/>
                <w:color w:val="000000" w:themeColor="text1"/>
                <w:sz w:val="20"/>
                <w:szCs w:val="20"/>
                <w:lang w:eastAsia="da-DK"/>
              </w:rPr>
              <w:t>Samlet for driftsherre (selvrisiko+ egne forbrugte pladser)</w:t>
            </w:r>
          </w:p>
        </w:tc>
        <w:tc>
          <w:tcPr>
            <w:tcW w:w="1559" w:type="dxa"/>
            <w:tcBorders>
              <w:top w:val="single" w:sz="4" w:space="0" w:color="auto"/>
              <w:left w:val="nil"/>
              <w:bottom w:val="single" w:sz="8" w:space="0" w:color="auto"/>
              <w:right w:val="single" w:sz="8" w:space="0" w:color="auto"/>
            </w:tcBorders>
            <w:shd w:val="clear" w:color="auto" w:fill="auto"/>
            <w:noWrap/>
            <w:hideMark/>
          </w:tcPr>
          <w:p w14:paraId="38B094B1" w14:textId="77777777" w:rsidR="00DF7DEC" w:rsidRPr="00AC7019" w:rsidRDefault="00DF7DEC" w:rsidP="00601BC3">
            <w:pPr>
              <w:widowControl/>
              <w:autoSpaceDE/>
              <w:autoSpaceDN/>
              <w:jc w:val="right"/>
              <w:rPr>
                <w:rFonts w:eastAsia="Times New Roman"/>
                <w:color w:val="000000" w:themeColor="text1"/>
                <w:sz w:val="20"/>
                <w:szCs w:val="20"/>
                <w:lang w:eastAsia="da-DK"/>
              </w:rPr>
            </w:pPr>
            <w:r>
              <w:rPr>
                <w:rFonts w:eastAsia="Times New Roman"/>
                <w:color w:val="000000" w:themeColor="text1"/>
                <w:sz w:val="20"/>
                <w:szCs w:val="20"/>
                <w:lang w:eastAsia="da-DK"/>
              </w:rPr>
              <w:t>2.320.000</w:t>
            </w:r>
          </w:p>
        </w:tc>
      </w:tr>
    </w:tbl>
    <w:p w14:paraId="192CD16C" w14:textId="77777777" w:rsidR="00DF7DEC" w:rsidRPr="00CC2A1A" w:rsidRDefault="00DF7DEC" w:rsidP="00DF7DEC">
      <w:pPr>
        <w:pStyle w:val="Overskrift2"/>
        <w:spacing w:before="1"/>
        <w:ind w:left="0"/>
        <w:rPr>
          <w:b w:val="0"/>
          <w:bCs w:val="0"/>
          <w:i/>
          <w:iCs/>
          <w:color w:val="000000" w:themeColor="text1"/>
        </w:rPr>
      </w:pPr>
      <w:r>
        <w:rPr>
          <w:b w:val="0"/>
          <w:bCs w:val="0"/>
          <w:i/>
          <w:iCs/>
          <w:color w:val="000000" w:themeColor="text1"/>
        </w:rPr>
        <w:br w:type="textWrapping" w:clear="all"/>
      </w:r>
    </w:p>
    <w:p w14:paraId="676AD3D4" w14:textId="77777777" w:rsidR="00DF7DEC" w:rsidRPr="00900771" w:rsidRDefault="00DF7DEC" w:rsidP="00DF7DEC">
      <w:pPr>
        <w:pStyle w:val="Overskrift2"/>
        <w:spacing w:before="1"/>
        <w:ind w:left="0"/>
        <w:rPr>
          <w:b w:val="0"/>
          <w:bCs w:val="0"/>
          <w:i/>
          <w:iCs/>
          <w:color w:val="000000" w:themeColor="text1"/>
          <w:u w:val="single"/>
        </w:rPr>
      </w:pPr>
      <w:r w:rsidRPr="00900771">
        <w:rPr>
          <w:b w:val="0"/>
          <w:bCs w:val="0"/>
          <w:i/>
          <w:iCs/>
          <w:color w:val="000000" w:themeColor="text1"/>
          <w:u w:val="single"/>
        </w:rPr>
        <w:t xml:space="preserve">Lukning af et tilbud, </w:t>
      </w:r>
      <w:r>
        <w:rPr>
          <w:b w:val="0"/>
          <w:bCs w:val="0"/>
          <w:i/>
          <w:iCs/>
          <w:color w:val="000000" w:themeColor="text1"/>
          <w:u w:val="single"/>
        </w:rPr>
        <w:t>der er en del af en økonomisk enhed</w:t>
      </w:r>
    </w:p>
    <w:p w14:paraId="084D63AE" w14:textId="77777777" w:rsidR="00DF7DEC" w:rsidRPr="00900771" w:rsidRDefault="00DF7DEC" w:rsidP="00DF7DEC">
      <w:pPr>
        <w:pStyle w:val="Brdtekst"/>
        <w:rPr>
          <w:color w:val="000000" w:themeColor="text1"/>
        </w:rPr>
      </w:pPr>
      <w:r>
        <w:rPr>
          <w:color w:val="000000" w:themeColor="text1"/>
        </w:rPr>
        <w:t>Hvis lukning af et tilbud, der er del af en økonomisk enhed,</w:t>
      </w:r>
      <w:r w:rsidRPr="00900771">
        <w:rPr>
          <w:color w:val="000000" w:themeColor="text1"/>
        </w:rPr>
        <w:t xml:space="preserve"> giver underskud,</w:t>
      </w:r>
      <w:r w:rsidRPr="00900771">
        <w:rPr>
          <w:rStyle w:val="Fodnotehenvisning"/>
          <w:color w:val="000000" w:themeColor="text1"/>
        </w:rPr>
        <w:t xml:space="preserve"> </w:t>
      </w:r>
      <w:r w:rsidRPr="00900771">
        <w:rPr>
          <w:color w:val="000000" w:themeColor="text1"/>
        </w:rPr>
        <w:t>kan der efterreguleres for tilbuddets andel af et underskud, der ligger ud over 5 procent af centerets samlede</w:t>
      </w:r>
      <w:r>
        <w:rPr>
          <w:color w:val="000000" w:themeColor="text1"/>
        </w:rPr>
        <w:t xml:space="preserve"> </w:t>
      </w:r>
      <w:proofErr w:type="spellStart"/>
      <w:r>
        <w:rPr>
          <w:color w:val="000000" w:themeColor="text1"/>
        </w:rPr>
        <w:t>takstbaserede</w:t>
      </w:r>
      <w:proofErr w:type="spellEnd"/>
      <w:r>
        <w:rPr>
          <w:color w:val="000000" w:themeColor="text1"/>
        </w:rPr>
        <w:t xml:space="preserve"> omsætning</w:t>
      </w:r>
      <w:r w:rsidRPr="00900771">
        <w:rPr>
          <w:color w:val="000000" w:themeColor="text1"/>
        </w:rPr>
        <w:t xml:space="preserve"> i året, hvor beslutningen om lukning træffes. </w:t>
      </w:r>
      <w:r w:rsidRPr="00900771">
        <w:rPr>
          <w:rStyle w:val="Fodnotehenvisning"/>
          <w:color w:val="000000" w:themeColor="text1"/>
        </w:rPr>
        <w:footnoteReference w:id="4"/>
      </w:r>
      <w:r w:rsidRPr="00900771">
        <w:rPr>
          <w:color w:val="000000" w:themeColor="text1"/>
        </w:rPr>
        <w:t xml:space="preserve"> Eventuelle overførte overskud eller underskud skal indgå i beregningen, idet det tillægges årsresultatet. Dette gælder både overførsler på tilbudsniveau og overførsler, der er hensat centralt. Se beregningseksempel 2. </w:t>
      </w:r>
    </w:p>
    <w:p w14:paraId="1BF5C0C3" w14:textId="77777777" w:rsidR="00DF7DEC" w:rsidRPr="007F26BE" w:rsidRDefault="00DF7DEC" w:rsidP="00DF7DEC">
      <w:pPr>
        <w:pStyle w:val="Overskrift2"/>
        <w:spacing w:before="143"/>
        <w:ind w:left="0"/>
        <w:rPr>
          <w:i/>
          <w:iCs/>
          <w:color w:val="000000" w:themeColor="text1"/>
        </w:rPr>
      </w:pPr>
      <w:r w:rsidRPr="007F26BE">
        <w:rPr>
          <w:i/>
          <w:iCs/>
          <w:color w:val="000000" w:themeColor="text1"/>
        </w:rPr>
        <w:t>Beregningseksempel 2: Lukning af et tilbud</w:t>
      </w:r>
      <w:r>
        <w:rPr>
          <w:i/>
          <w:iCs/>
          <w:color w:val="000000" w:themeColor="text1"/>
        </w:rPr>
        <w:t xml:space="preserve"> der er e</w:t>
      </w:r>
      <w:r w:rsidRPr="007F26BE">
        <w:rPr>
          <w:i/>
          <w:iCs/>
          <w:color w:val="000000" w:themeColor="text1"/>
        </w:rPr>
        <w:t>n</w:t>
      </w:r>
      <w:r>
        <w:rPr>
          <w:i/>
          <w:iCs/>
          <w:color w:val="000000" w:themeColor="text1"/>
        </w:rPr>
        <w:t xml:space="preserve"> del af en</w:t>
      </w:r>
      <w:r w:rsidRPr="007F26BE">
        <w:rPr>
          <w:i/>
          <w:iCs/>
          <w:color w:val="000000" w:themeColor="text1"/>
        </w:rPr>
        <w:t xml:space="preserve"> økonomisk enhed:</w:t>
      </w:r>
    </w:p>
    <w:p w14:paraId="3DF0B54F" w14:textId="77777777" w:rsidR="00DF7DEC" w:rsidRPr="00900771" w:rsidRDefault="00DF7DEC" w:rsidP="00DF7DEC">
      <w:pPr>
        <w:pStyle w:val="Brdtekst"/>
        <w:rPr>
          <w:color w:val="000000" w:themeColor="text1"/>
          <w:sz w:val="24"/>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2"/>
        <w:gridCol w:w="1141"/>
        <w:gridCol w:w="1344"/>
        <w:gridCol w:w="1208"/>
      </w:tblGrid>
      <w:tr w:rsidR="00DF7DEC" w:rsidRPr="00900771" w14:paraId="13B454D8" w14:textId="77777777" w:rsidTr="00601BC3">
        <w:trPr>
          <w:trHeight w:val="270"/>
        </w:trPr>
        <w:tc>
          <w:tcPr>
            <w:tcW w:w="5382" w:type="dxa"/>
            <w:noWrap/>
            <w:tcMar>
              <w:top w:w="0" w:type="dxa"/>
              <w:left w:w="70" w:type="dxa"/>
              <w:bottom w:w="0" w:type="dxa"/>
              <w:right w:w="70" w:type="dxa"/>
            </w:tcMar>
            <w:hideMark/>
          </w:tcPr>
          <w:p w14:paraId="56686194" w14:textId="77777777" w:rsidR="00DF7DEC" w:rsidRPr="00335316" w:rsidRDefault="00DF7DEC" w:rsidP="00601BC3">
            <w:pPr>
              <w:widowControl/>
              <w:autoSpaceDE/>
              <w:autoSpaceDN/>
              <w:rPr>
                <w:rFonts w:eastAsia="Times New Roman"/>
                <w:color w:val="000000" w:themeColor="text1"/>
                <w:sz w:val="20"/>
                <w:szCs w:val="20"/>
              </w:rPr>
            </w:pPr>
          </w:p>
        </w:tc>
        <w:tc>
          <w:tcPr>
            <w:tcW w:w="1141" w:type="dxa"/>
            <w:noWrap/>
            <w:tcMar>
              <w:top w:w="0" w:type="dxa"/>
              <w:left w:w="70" w:type="dxa"/>
              <w:bottom w:w="0" w:type="dxa"/>
              <w:right w:w="70" w:type="dxa"/>
            </w:tcMar>
            <w:hideMark/>
          </w:tcPr>
          <w:p w14:paraId="7D744859" w14:textId="77777777" w:rsidR="00DF7DEC" w:rsidRPr="00335316" w:rsidRDefault="00DF7DEC" w:rsidP="00601BC3">
            <w:pPr>
              <w:rPr>
                <w:color w:val="000000" w:themeColor="text1"/>
                <w:sz w:val="20"/>
                <w:szCs w:val="20"/>
                <w:lang w:eastAsia="da-DK"/>
              </w:rPr>
            </w:pPr>
            <w:r w:rsidRPr="00335316">
              <w:rPr>
                <w:color w:val="000000" w:themeColor="text1"/>
                <w:sz w:val="20"/>
                <w:szCs w:val="20"/>
                <w:lang w:eastAsia="da-DK"/>
              </w:rPr>
              <w:t>Tilbud 1</w:t>
            </w:r>
          </w:p>
        </w:tc>
        <w:tc>
          <w:tcPr>
            <w:tcW w:w="1344" w:type="dxa"/>
            <w:noWrap/>
            <w:tcMar>
              <w:top w:w="0" w:type="dxa"/>
              <w:left w:w="70" w:type="dxa"/>
              <w:bottom w:w="0" w:type="dxa"/>
              <w:right w:w="70" w:type="dxa"/>
            </w:tcMar>
            <w:hideMark/>
          </w:tcPr>
          <w:p w14:paraId="71087983" w14:textId="77777777" w:rsidR="00DF7DEC" w:rsidRPr="00335316" w:rsidRDefault="00DF7DEC" w:rsidP="00601BC3">
            <w:pPr>
              <w:rPr>
                <w:color w:val="000000" w:themeColor="text1"/>
                <w:sz w:val="20"/>
                <w:szCs w:val="20"/>
                <w:lang w:eastAsia="da-DK"/>
              </w:rPr>
            </w:pPr>
            <w:r>
              <w:rPr>
                <w:color w:val="000000" w:themeColor="text1"/>
                <w:sz w:val="20"/>
                <w:szCs w:val="20"/>
                <w:lang w:eastAsia="da-DK"/>
              </w:rPr>
              <w:t xml:space="preserve">Tilbud 2 og </w:t>
            </w:r>
            <w:r w:rsidRPr="00335316">
              <w:rPr>
                <w:color w:val="000000" w:themeColor="text1"/>
                <w:sz w:val="20"/>
                <w:szCs w:val="20"/>
                <w:lang w:eastAsia="da-DK"/>
              </w:rPr>
              <w:t>3</w:t>
            </w:r>
          </w:p>
        </w:tc>
        <w:tc>
          <w:tcPr>
            <w:tcW w:w="1208" w:type="dxa"/>
            <w:noWrap/>
            <w:tcMar>
              <w:top w:w="0" w:type="dxa"/>
              <w:left w:w="70" w:type="dxa"/>
              <w:bottom w:w="0" w:type="dxa"/>
              <w:right w:w="70" w:type="dxa"/>
            </w:tcMar>
            <w:hideMark/>
          </w:tcPr>
          <w:p w14:paraId="6D2A881B" w14:textId="77777777" w:rsidR="00DF7DEC" w:rsidRPr="00335316" w:rsidRDefault="00DF7DEC" w:rsidP="00601BC3">
            <w:pPr>
              <w:rPr>
                <w:color w:val="000000" w:themeColor="text1"/>
                <w:sz w:val="20"/>
                <w:szCs w:val="20"/>
                <w:lang w:eastAsia="da-DK"/>
              </w:rPr>
            </w:pPr>
            <w:r w:rsidRPr="00335316">
              <w:rPr>
                <w:color w:val="000000" w:themeColor="text1"/>
                <w:sz w:val="20"/>
                <w:szCs w:val="20"/>
                <w:lang w:eastAsia="da-DK"/>
              </w:rPr>
              <w:t>Samlet</w:t>
            </w:r>
          </w:p>
        </w:tc>
      </w:tr>
      <w:tr w:rsidR="00DF7DEC" w:rsidRPr="00900771" w14:paraId="1E1E8DF2" w14:textId="77777777" w:rsidTr="00601BC3">
        <w:trPr>
          <w:trHeight w:val="270"/>
        </w:trPr>
        <w:tc>
          <w:tcPr>
            <w:tcW w:w="5382" w:type="dxa"/>
            <w:noWrap/>
            <w:tcMar>
              <w:top w:w="0" w:type="dxa"/>
              <w:left w:w="70" w:type="dxa"/>
              <w:bottom w:w="0" w:type="dxa"/>
              <w:right w:w="70" w:type="dxa"/>
            </w:tcMar>
            <w:hideMark/>
          </w:tcPr>
          <w:p w14:paraId="08279EA4" w14:textId="77777777" w:rsidR="00DF7DEC" w:rsidRPr="00335316" w:rsidRDefault="00DF7DEC" w:rsidP="00601BC3">
            <w:pPr>
              <w:rPr>
                <w:color w:val="000000" w:themeColor="text1"/>
                <w:sz w:val="20"/>
                <w:szCs w:val="20"/>
                <w:lang w:eastAsia="da-DK"/>
              </w:rPr>
            </w:pPr>
            <w:proofErr w:type="spellStart"/>
            <w:r>
              <w:rPr>
                <w:color w:val="000000" w:themeColor="text1"/>
                <w:sz w:val="20"/>
                <w:szCs w:val="20"/>
                <w:lang w:eastAsia="da-DK"/>
              </w:rPr>
              <w:t>Takstbaseret</w:t>
            </w:r>
            <w:proofErr w:type="spellEnd"/>
            <w:r>
              <w:rPr>
                <w:color w:val="000000" w:themeColor="text1"/>
                <w:sz w:val="20"/>
                <w:szCs w:val="20"/>
                <w:lang w:eastAsia="da-DK"/>
              </w:rPr>
              <w:t xml:space="preserve"> omsætning</w:t>
            </w:r>
            <w:r w:rsidRPr="00335316">
              <w:rPr>
                <w:color w:val="000000" w:themeColor="text1"/>
                <w:sz w:val="20"/>
                <w:szCs w:val="20"/>
                <w:lang w:eastAsia="da-DK"/>
              </w:rPr>
              <w:t xml:space="preserve"> i året for beslutning </w:t>
            </w:r>
          </w:p>
        </w:tc>
        <w:tc>
          <w:tcPr>
            <w:tcW w:w="1141" w:type="dxa"/>
            <w:noWrap/>
            <w:tcMar>
              <w:top w:w="0" w:type="dxa"/>
              <w:left w:w="70" w:type="dxa"/>
              <w:bottom w:w="0" w:type="dxa"/>
              <w:right w:w="70" w:type="dxa"/>
            </w:tcMar>
            <w:hideMark/>
          </w:tcPr>
          <w:p w14:paraId="72FDA795"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20.000.000</w:t>
            </w:r>
          </w:p>
        </w:tc>
        <w:tc>
          <w:tcPr>
            <w:tcW w:w="1344" w:type="dxa"/>
            <w:noWrap/>
            <w:tcMar>
              <w:top w:w="0" w:type="dxa"/>
              <w:left w:w="70" w:type="dxa"/>
              <w:bottom w:w="0" w:type="dxa"/>
              <w:right w:w="70" w:type="dxa"/>
            </w:tcMar>
            <w:hideMark/>
          </w:tcPr>
          <w:p w14:paraId="0812ED34"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40.000.000</w:t>
            </w:r>
          </w:p>
        </w:tc>
        <w:tc>
          <w:tcPr>
            <w:tcW w:w="1208" w:type="dxa"/>
            <w:noWrap/>
            <w:tcMar>
              <w:top w:w="0" w:type="dxa"/>
              <w:left w:w="70" w:type="dxa"/>
              <w:bottom w:w="0" w:type="dxa"/>
              <w:right w:w="70" w:type="dxa"/>
            </w:tcMar>
            <w:hideMark/>
          </w:tcPr>
          <w:p w14:paraId="592290EC"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60.000.000</w:t>
            </w:r>
          </w:p>
        </w:tc>
      </w:tr>
      <w:tr w:rsidR="00DF7DEC" w:rsidRPr="00900771" w14:paraId="2E0DA325" w14:textId="77777777" w:rsidTr="00601BC3">
        <w:trPr>
          <w:trHeight w:val="255"/>
        </w:trPr>
        <w:tc>
          <w:tcPr>
            <w:tcW w:w="5382" w:type="dxa"/>
            <w:noWrap/>
            <w:tcMar>
              <w:top w:w="0" w:type="dxa"/>
              <w:left w:w="70" w:type="dxa"/>
              <w:bottom w:w="0" w:type="dxa"/>
              <w:right w:w="70" w:type="dxa"/>
            </w:tcMar>
            <w:hideMark/>
          </w:tcPr>
          <w:p w14:paraId="15383916" w14:textId="77777777" w:rsidR="00DF7DEC" w:rsidRPr="00335316" w:rsidRDefault="00DF7DEC" w:rsidP="00601BC3">
            <w:pPr>
              <w:pStyle w:val="Brdtekst"/>
              <w:rPr>
                <w:color w:val="000000" w:themeColor="text1"/>
                <w:sz w:val="20"/>
                <w:szCs w:val="20"/>
                <w:lang w:eastAsia="da-DK"/>
              </w:rPr>
            </w:pPr>
            <w:r w:rsidRPr="00335316">
              <w:rPr>
                <w:color w:val="000000" w:themeColor="text1"/>
                <w:sz w:val="20"/>
                <w:szCs w:val="20"/>
                <w:lang w:eastAsia="da-DK"/>
              </w:rPr>
              <w:t>Indtægter</w:t>
            </w:r>
            <w:r w:rsidRPr="00335316">
              <w:rPr>
                <w:sz w:val="20"/>
                <w:szCs w:val="20"/>
              </w:rPr>
              <w:t xml:space="preserve"> Rammeaftaler og udgifter ved de lands- og landsdelsdækkende undervisningstilbud mv.</w:t>
            </w:r>
          </w:p>
        </w:tc>
        <w:tc>
          <w:tcPr>
            <w:tcW w:w="1141" w:type="dxa"/>
            <w:noWrap/>
            <w:tcMar>
              <w:top w:w="0" w:type="dxa"/>
              <w:left w:w="70" w:type="dxa"/>
              <w:bottom w:w="0" w:type="dxa"/>
              <w:right w:w="70" w:type="dxa"/>
            </w:tcMar>
            <w:hideMark/>
          </w:tcPr>
          <w:p w14:paraId="28F2AF00"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10.000.000</w:t>
            </w:r>
          </w:p>
        </w:tc>
        <w:tc>
          <w:tcPr>
            <w:tcW w:w="1344" w:type="dxa"/>
            <w:noWrap/>
            <w:tcMar>
              <w:top w:w="0" w:type="dxa"/>
              <w:left w:w="70" w:type="dxa"/>
              <w:bottom w:w="0" w:type="dxa"/>
              <w:right w:w="70" w:type="dxa"/>
            </w:tcMar>
            <w:hideMark/>
          </w:tcPr>
          <w:p w14:paraId="01305AB6"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40.000.000</w:t>
            </w:r>
          </w:p>
        </w:tc>
        <w:tc>
          <w:tcPr>
            <w:tcW w:w="1208" w:type="dxa"/>
            <w:noWrap/>
            <w:tcMar>
              <w:top w:w="0" w:type="dxa"/>
              <w:left w:w="70" w:type="dxa"/>
              <w:bottom w:w="0" w:type="dxa"/>
              <w:right w:w="70" w:type="dxa"/>
            </w:tcMar>
            <w:hideMark/>
          </w:tcPr>
          <w:p w14:paraId="3714A513"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50.000.000</w:t>
            </w:r>
          </w:p>
        </w:tc>
      </w:tr>
      <w:tr w:rsidR="00DF7DEC" w:rsidRPr="00900771" w14:paraId="404EBF9C" w14:textId="77777777" w:rsidTr="00601BC3">
        <w:trPr>
          <w:trHeight w:val="255"/>
        </w:trPr>
        <w:tc>
          <w:tcPr>
            <w:tcW w:w="5382" w:type="dxa"/>
            <w:noWrap/>
            <w:tcMar>
              <w:top w:w="0" w:type="dxa"/>
              <w:left w:w="70" w:type="dxa"/>
              <w:bottom w:w="0" w:type="dxa"/>
              <w:right w:w="70" w:type="dxa"/>
            </w:tcMar>
            <w:hideMark/>
          </w:tcPr>
          <w:p w14:paraId="5C388E31" w14:textId="77777777" w:rsidR="00DF7DEC" w:rsidRPr="00335316" w:rsidRDefault="00DF7DEC" w:rsidP="00601BC3">
            <w:pPr>
              <w:rPr>
                <w:color w:val="000000" w:themeColor="text1"/>
                <w:sz w:val="20"/>
                <w:szCs w:val="20"/>
                <w:lang w:eastAsia="da-DK"/>
              </w:rPr>
            </w:pPr>
            <w:r w:rsidRPr="00335316">
              <w:rPr>
                <w:color w:val="000000" w:themeColor="text1"/>
                <w:sz w:val="20"/>
                <w:szCs w:val="20"/>
                <w:lang w:eastAsia="da-DK"/>
              </w:rPr>
              <w:t>Omkostninger</w:t>
            </w:r>
          </w:p>
        </w:tc>
        <w:tc>
          <w:tcPr>
            <w:tcW w:w="1141" w:type="dxa"/>
            <w:noWrap/>
            <w:tcMar>
              <w:top w:w="0" w:type="dxa"/>
              <w:left w:w="70" w:type="dxa"/>
              <w:bottom w:w="0" w:type="dxa"/>
              <w:right w:w="70" w:type="dxa"/>
            </w:tcMar>
            <w:hideMark/>
          </w:tcPr>
          <w:p w14:paraId="00B3E025"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14.000.000</w:t>
            </w:r>
          </w:p>
        </w:tc>
        <w:tc>
          <w:tcPr>
            <w:tcW w:w="1344" w:type="dxa"/>
            <w:noWrap/>
            <w:tcMar>
              <w:top w:w="0" w:type="dxa"/>
              <w:left w:w="70" w:type="dxa"/>
              <w:bottom w:w="0" w:type="dxa"/>
              <w:right w:w="70" w:type="dxa"/>
            </w:tcMar>
            <w:hideMark/>
          </w:tcPr>
          <w:p w14:paraId="0FAAA5F7"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40.000.000</w:t>
            </w:r>
          </w:p>
        </w:tc>
        <w:tc>
          <w:tcPr>
            <w:tcW w:w="1208" w:type="dxa"/>
            <w:noWrap/>
            <w:tcMar>
              <w:top w:w="0" w:type="dxa"/>
              <w:left w:w="70" w:type="dxa"/>
              <w:bottom w:w="0" w:type="dxa"/>
              <w:right w:w="70" w:type="dxa"/>
            </w:tcMar>
            <w:hideMark/>
          </w:tcPr>
          <w:p w14:paraId="20ADA2E4"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54.000.000</w:t>
            </w:r>
          </w:p>
        </w:tc>
      </w:tr>
      <w:tr w:rsidR="00DF7DEC" w:rsidRPr="00900771" w14:paraId="19E9105E" w14:textId="77777777" w:rsidTr="00601BC3">
        <w:trPr>
          <w:trHeight w:val="270"/>
        </w:trPr>
        <w:tc>
          <w:tcPr>
            <w:tcW w:w="5382" w:type="dxa"/>
            <w:noWrap/>
            <w:tcMar>
              <w:top w:w="0" w:type="dxa"/>
              <w:left w:w="70" w:type="dxa"/>
              <w:bottom w:w="0" w:type="dxa"/>
              <w:right w:w="70" w:type="dxa"/>
            </w:tcMar>
            <w:hideMark/>
          </w:tcPr>
          <w:p w14:paraId="28199D66" w14:textId="77777777" w:rsidR="00DF7DEC" w:rsidRPr="00335316" w:rsidRDefault="00DF7DEC" w:rsidP="00601BC3">
            <w:pPr>
              <w:rPr>
                <w:color w:val="000000" w:themeColor="text1"/>
                <w:sz w:val="20"/>
                <w:szCs w:val="20"/>
                <w:lang w:eastAsia="da-DK"/>
              </w:rPr>
            </w:pPr>
            <w:r w:rsidRPr="00335316">
              <w:rPr>
                <w:color w:val="000000" w:themeColor="text1"/>
                <w:sz w:val="20"/>
                <w:szCs w:val="20"/>
                <w:lang w:eastAsia="da-DK"/>
              </w:rPr>
              <w:t>Årsresultat</w:t>
            </w:r>
          </w:p>
        </w:tc>
        <w:tc>
          <w:tcPr>
            <w:tcW w:w="1141" w:type="dxa"/>
            <w:noWrap/>
            <w:tcMar>
              <w:top w:w="0" w:type="dxa"/>
              <w:left w:w="70" w:type="dxa"/>
              <w:bottom w:w="0" w:type="dxa"/>
              <w:right w:w="70" w:type="dxa"/>
            </w:tcMar>
            <w:hideMark/>
          </w:tcPr>
          <w:p w14:paraId="79B82C6A"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-4.000.000</w:t>
            </w:r>
          </w:p>
        </w:tc>
        <w:tc>
          <w:tcPr>
            <w:tcW w:w="1344" w:type="dxa"/>
            <w:noWrap/>
            <w:tcMar>
              <w:top w:w="0" w:type="dxa"/>
              <w:left w:w="70" w:type="dxa"/>
              <w:bottom w:w="0" w:type="dxa"/>
              <w:right w:w="70" w:type="dxa"/>
            </w:tcMar>
            <w:hideMark/>
          </w:tcPr>
          <w:p w14:paraId="298CE0F6"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0</w:t>
            </w:r>
          </w:p>
        </w:tc>
        <w:tc>
          <w:tcPr>
            <w:tcW w:w="1208" w:type="dxa"/>
            <w:noWrap/>
            <w:tcMar>
              <w:top w:w="0" w:type="dxa"/>
              <w:left w:w="70" w:type="dxa"/>
              <w:bottom w:w="0" w:type="dxa"/>
              <w:right w:w="70" w:type="dxa"/>
            </w:tcMar>
            <w:hideMark/>
          </w:tcPr>
          <w:p w14:paraId="1C9EF9FD"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-4.000.000</w:t>
            </w:r>
          </w:p>
        </w:tc>
      </w:tr>
      <w:tr w:rsidR="00DF7DEC" w:rsidRPr="00900771" w14:paraId="0323A030" w14:textId="77777777" w:rsidTr="00601BC3">
        <w:trPr>
          <w:trHeight w:val="270"/>
        </w:trPr>
        <w:tc>
          <w:tcPr>
            <w:tcW w:w="5382" w:type="dxa"/>
            <w:tcBorders>
              <w:bottom w:val="single" w:sz="4" w:space="0" w:color="auto"/>
            </w:tcBorders>
            <w:noWrap/>
            <w:tcMar>
              <w:top w:w="0" w:type="dxa"/>
              <w:left w:w="70" w:type="dxa"/>
              <w:bottom w:w="0" w:type="dxa"/>
              <w:right w:w="70" w:type="dxa"/>
            </w:tcMar>
          </w:tcPr>
          <w:p w14:paraId="1D259522" w14:textId="77777777" w:rsidR="00DF7DEC" w:rsidRPr="00335316" w:rsidRDefault="00DF7DEC" w:rsidP="00601BC3">
            <w:pPr>
              <w:rPr>
                <w:color w:val="000000" w:themeColor="text1"/>
                <w:sz w:val="20"/>
                <w:szCs w:val="20"/>
                <w:lang w:eastAsia="da-DK"/>
              </w:rPr>
            </w:pPr>
            <w:r w:rsidRPr="00335316">
              <w:rPr>
                <w:color w:val="000000" w:themeColor="text1"/>
                <w:sz w:val="20"/>
                <w:szCs w:val="20"/>
                <w:lang w:eastAsia="da-DK"/>
              </w:rPr>
              <w:t>Overført fra tidligere år</w:t>
            </w:r>
          </w:p>
        </w:tc>
        <w:tc>
          <w:tcPr>
            <w:tcW w:w="1141" w:type="dxa"/>
            <w:tcBorders>
              <w:bottom w:val="single" w:sz="4" w:space="0" w:color="auto"/>
            </w:tcBorders>
            <w:noWrap/>
            <w:tcMar>
              <w:top w:w="0" w:type="dxa"/>
              <w:left w:w="70" w:type="dxa"/>
              <w:bottom w:w="0" w:type="dxa"/>
              <w:right w:w="70" w:type="dxa"/>
            </w:tcMar>
          </w:tcPr>
          <w:p w14:paraId="45D6E88E" w14:textId="77777777" w:rsidR="00DF7DEC" w:rsidRPr="00335316" w:rsidRDefault="00DF7DEC" w:rsidP="00601BC3">
            <w:pPr>
              <w:jc w:val="right"/>
              <w:rPr>
                <w:color w:val="000000" w:themeColor="text1"/>
                <w:sz w:val="20"/>
                <w:szCs w:val="20"/>
                <w:lang w:eastAsia="da-DK"/>
              </w:rPr>
            </w:pPr>
          </w:p>
        </w:tc>
        <w:tc>
          <w:tcPr>
            <w:tcW w:w="1344" w:type="dxa"/>
            <w:tcBorders>
              <w:bottom w:val="single" w:sz="4" w:space="0" w:color="auto"/>
            </w:tcBorders>
            <w:noWrap/>
            <w:tcMar>
              <w:top w:w="0" w:type="dxa"/>
              <w:left w:w="70" w:type="dxa"/>
              <w:bottom w:w="0" w:type="dxa"/>
              <w:right w:w="70" w:type="dxa"/>
            </w:tcMar>
          </w:tcPr>
          <w:p w14:paraId="60A47A0F" w14:textId="77777777" w:rsidR="00DF7DEC" w:rsidRPr="00335316" w:rsidRDefault="00DF7DEC" w:rsidP="00601BC3">
            <w:pPr>
              <w:jc w:val="right"/>
              <w:rPr>
                <w:color w:val="000000" w:themeColor="text1"/>
                <w:sz w:val="20"/>
                <w:szCs w:val="20"/>
                <w:lang w:eastAsia="da-DK"/>
              </w:rPr>
            </w:pPr>
          </w:p>
        </w:tc>
        <w:tc>
          <w:tcPr>
            <w:tcW w:w="1208" w:type="dxa"/>
            <w:noWrap/>
            <w:tcMar>
              <w:top w:w="0" w:type="dxa"/>
              <w:left w:w="70" w:type="dxa"/>
              <w:bottom w:w="0" w:type="dxa"/>
              <w:right w:w="70" w:type="dxa"/>
            </w:tcMar>
          </w:tcPr>
          <w:p w14:paraId="20EB6F90"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-1.000.000</w:t>
            </w:r>
          </w:p>
        </w:tc>
      </w:tr>
      <w:tr w:rsidR="00DF7DEC" w:rsidRPr="00900771" w14:paraId="77B59A7B" w14:textId="77777777" w:rsidTr="00601BC3">
        <w:trPr>
          <w:trHeight w:val="270"/>
        </w:trPr>
        <w:tc>
          <w:tcPr>
            <w:tcW w:w="5382" w:type="dxa"/>
            <w:tcBorders>
              <w:top w:val="single" w:sz="4" w:space="0" w:color="auto"/>
              <w:left w:val="single" w:sz="4" w:space="0" w:color="auto"/>
              <w:bottom w:val="single" w:sz="4" w:space="0" w:color="auto"/>
              <w:right w:val="nil"/>
            </w:tcBorders>
            <w:noWrap/>
            <w:tcMar>
              <w:top w:w="0" w:type="dxa"/>
              <w:left w:w="70" w:type="dxa"/>
              <w:bottom w:w="0" w:type="dxa"/>
              <w:right w:w="70" w:type="dxa"/>
            </w:tcMar>
          </w:tcPr>
          <w:p w14:paraId="08C4FFBF" w14:textId="77777777" w:rsidR="00DF7DEC" w:rsidRPr="00335316" w:rsidRDefault="00DF7DEC" w:rsidP="00601BC3">
            <w:pPr>
              <w:rPr>
                <w:color w:val="000000" w:themeColor="text1"/>
                <w:sz w:val="20"/>
                <w:szCs w:val="20"/>
                <w:lang w:eastAsia="da-DK"/>
              </w:rPr>
            </w:pPr>
            <w:r w:rsidRPr="00335316">
              <w:rPr>
                <w:color w:val="000000" w:themeColor="text1"/>
                <w:sz w:val="20"/>
                <w:szCs w:val="20"/>
                <w:lang w:eastAsia="da-DK"/>
              </w:rPr>
              <w:t>Til fordeling</w:t>
            </w:r>
          </w:p>
        </w:tc>
        <w:tc>
          <w:tcPr>
            <w:tcW w:w="1141" w:type="dxa"/>
            <w:tcBorders>
              <w:top w:val="single" w:sz="4" w:space="0" w:color="auto"/>
              <w:left w:val="nil"/>
              <w:bottom w:val="single" w:sz="4" w:space="0" w:color="auto"/>
              <w:right w:val="nil"/>
            </w:tcBorders>
            <w:noWrap/>
            <w:tcMar>
              <w:top w:w="0" w:type="dxa"/>
              <w:left w:w="70" w:type="dxa"/>
              <w:bottom w:w="0" w:type="dxa"/>
              <w:right w:w="70" w:type="dxa"/>
            </w:tcMar>
          </w:tcPr>
          <w:p w14:paraId="0893FF9C" w14:textId="77777777" w:rsidR="00DF7DEC" w:rsidRPr="00335316" w:rsidRDefault="00DF7DEC" w:rsidP="00601BC3">
            <w:pPr>
              <w:jc w:val="right"/>
              <w:rPr>
                <w:color w:val="000000" w:themeColor="text1"/>
                <w:sz w:val="20"/>
                <w:szCs w:val="20"/>
                <w:lang w:eastAsia="da-DK"/>
              </w:rPr>
            </w:pPr>
          </w:p>
        </w:tc>
        <w:tc>
          <w:tcPr>
            <w:tcW w:w="1344" w:type="dxa"/>
            <w:tcBorders>
              <w:top w:val="single" w:sz="4" w:space="0" w:color="auto"/>
              <w:left w:val="nil"/>
              <w:bottom w:val="single" w:sz="4" w:space="0" w:color="auto"/>
              <w:right w:val="single" w:sz="4" w:space="0" w:color="auto"/>
            </w:tcBorders>
            <w:noWrap/>
            <w:tcMar>
              <w:top w:w="0" w:type="dxa"/>
              <w:left w:w="70" w:type="dxa"/>
              <w:bottom w:w="0" w:type="dxa"/>
              <w:right w:w="70" w:type="dxa"/>
            </w:tcMar>
          </w:tcPr>
          <w:p w14:paraId="30C1B724" w14:textId="77777777" w:rsidR="00DF7DEC" w:rsidRPr="00335316" w:rsidRDefault="00DF7DEC" w:rsidP="00601BC3">
            <w:pPr>
              <w:jc w:val="right"/>
              <w:rPr>
                <w:color w:val="000000" w:themeColor="text1"/>
                <w:sz w:val="20"/>
                <w:szCs w:val="20"/>
                <w:lang w:eastAsia="da-DK"/>
              </w:rPr>
            </w:pPr>
          </w:p>
        </w:tc>
        <w:tc>
          <w:tcPr>
            <w:tcW w:w="1208" w:type="dxa"/>
            <w:tcBorders>
              <w:left w:val="single" w:sz="4" w:space="0" w:color="auto"/>
            </w:tcBorders>
            <w:noWrap/>
            <w:tcMar>
              <w:top w:w="0" w:type="dxa"/>
              <w:left w:w="70" w:type="dxa"/>
              <w:bottom w:w="0" w:type="dxa"/>
              <w:right w:w="70" w:type="dxa"/>
            </w:tcMar>
          </w:tcPr>
          <w:p w14:paraId="129BA27F"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-5.000.000</w:t>
            </w:r>
          </w:p>
        </w:tc>
      </w:tr>
      <w:tr w:rsidR="00DF7DEC" w:rsidRPr="00900771" w14:paraId="7D501078" w14:textId="77777777" w:rsidTr="00601BC3">
        <w:trPr>
          <w:trHeight w:val="255"/>
        </w:trPr>
        <w:tc>
          <w:tcPr>
            <w:tcW w:w="5382" w:type="dxa"/>
            <w:tcBorders>
              <w:top w:val="single" w:sz="4" w:space="0" w:color="auto"/>
            </w:tcBorders>
            <w:noWrap/>
            <w:tcMar>
              <w:top w:w="0" w:type="dxa"/>
              <w:left w:w="70" w:type="dxa"/>
              <w:bottom w:w="0" w:type="dxa"/>
              <w:right w:w="70" w:type="dxa"/>
            </w:tcMar>
            <w:hideMark/>
          </w:tcPr>
          <w:p w14:paraId="0CF4514E" w14:textId="77777777" w:rsidR="00DF7DEC" w:rsidRPr="00335316" w:rsidRDefault="00DF7DEC" w:rsidP="00601BC3">
            <w:pPr>
              <w:rPr>
                <w:color w:val="000000" w:themeColor="text1"/>
                <w:sz w:val="20"/>
                <w:szCs w:val="20"/>
                <w:lang w:eastAsia="da-DK"/>
              </w:rPr>
            </w:pPr>
            <w:r w:rsidRPr="00335316">
              <w:rPr>
                <w:color w:val="000000" w:themeColor="text1"/>
                <w:sz w:val="20"/>
                <w:szCs w:val="20"/>
                <w:lang w:eastAsia="da-DK"/>
              </w:rPr>
              <w:t xml:space="preserve">Selvrisiko (5 % af </w:t>
            </w:r>
            <w:r>
              <w:rPr>
                <w:color w:val="000000" w:themeColor="text1"/>
                <w:sz w:val="20"/>
                <w:szCs w:val="20"/>
                <w:lang w:eastAsia="da-DK"/>
              </w:rPr>
              <w:t xml:space="preserve">den </w:t>
            </w:r>
            <w:proofErr w:type="spellStart"/>
            <w:r>
              <w:rPr>
                <w:color w:val="000000" w:themeColor="text1"/>
                <w:sz w:val="20"/>
                <w:szCs w:val="20"/>
                <w:lang w:eastAsia="da-DK"/>
              </w:rPr>
              <w:t>takstbaserede</w:t>
            </w:r>
            <w:proofErr w:type="spellEnd"/>
            <w:r>
              <w:rPr>
                <w:color w:val="000000" w:themeColor="text1"/>
                <w:sz w:val="20"/>
                <w:szCs w:val="20"/>
                <w:lang w:eastAsia="da-DK"/>
              </w:rPr>
              <w:t xml:space="preserve"> </w:t>
            </w:r>
            <w:r w:rsidRPr="00335316">
              <w:rPr>
                <w:color w:val="000000" w:themeColor="text1"/>
                <w:sz w:val="20"/>
                <w:szCs w:val="20"/>
                <w:lang w:eastAsia="da-DK"/>
              </w:rPr>
              <w:t>o</w:t>
            </w:r>
            <w:r>
              <w:rPr>
                <w:color w:val="000000" w:themeColor="text1"/>
                <w:sz w:val="20"/>
                <w:szCs w:val="20"/>
                <w:lang w:eastAsia="da-DK"/>
              </w:rPr>
              <w:t>msætning</w:t>
            </w:r>
            <w:r w:rsidRPr="00335316">
              <w:rPr>
                <w:color w:val="000000" w:themeColor="text1"/>
                <w:sz w:val="20"/>
                <w:szCs w:val="20"/>
                <w:lang w:eastAsia="da-DK"/>
              </w:rPr>
              <w:t>)</w:t>
            </w:r>
          </w:p>
        </w:tc>
        <w:tc>
          <w:tcPr>
            <w:tcW w:w="1141" w:type="dxa"/>
            <w:tcBorders>
              <w:top w:val="single" w:sz="4" w:space="0" w:color="auto"/>
            </w:tcBorders>
            <w:noWrap/>
            <w:tcMar>
              <w:top w:w="0" w:type="dxa"/>
              <w:left w:w="70" w:type="dxa"/>
              <w:bottom w:w="0" w:type="dxa"/>
              <w:right w:w="70" w:type="dxa"/>
            </w:tcMar>
            <w:hideMark/>
          </w:tcPr>
          <w:p w14:paraId="13DFD11D"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1.000.000</w:t>
            </w:r>
          </w:p>
        </w:tc>
        <w:tc>
          <w:tcPr>
            <w:tcW w:w="1344" w:type="dxa"/>
            <w:tcBorders>
              <w:top w:val="single" w:sz="4" w:space="0" w:color="auto"/>
            </w:tcBorders>
            <w:noWrap/>
            <w:tcMar>
              <w:top w:w="0" w:type="dxa"/>
              <w:left w:w="70" w:type="dxa"/>
              <w:bottom w:w="0" w:type="dxa"/>
              <w:right w:w="70" w:type="dxa"/>
            </w:tcMar>
            <w:hideMark/>
          </w:tcPr>
          <w:p w14:paraId="0C660CB8"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2.000.000</w:t>
            </w:r>
          </w:p>
        </w:tc>
        <w:tc>
          <w:tcPr>
            <w:tcW w:w="1208" w:type="dxa"/>
            <w:noWrap/>
            <w:tcMar>
              <w:top w:w="0" w:type="dxa"/>
              <w:left w:w="70" w:type="dxa"/>
              <w:bottom w:w="0" w:type="dxa"/>
              <w:right w:w="70" w:type="dxa"/>
            </w:tcMar>
            <w:hideMark/>
          </w:tcPr>
          <w:p w14:paraId="4202B7C0"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3.000.000</w:t>
            </w:r>
          </w:p>
        </w:tc>
      </w:tr>
      <w:tr w:rsidR="00DF7DEC" w:rsidRPr="00900771" w14:paraId="73123E5F" w14:textId="77777777" w:rsidTr="00601BC3">
        <w:trPr>
          <w:trHeight w:val="270"/>
        </w:trPr>
        <w:tc>
          <w:tcPr>
            <w:tcW w:w="5382" w:type="dxa"/>
            <w:noWrap/>
            <w:tcMar>
              <w:top w:w="0" w:type="dxa"/>
              <w:left w:w="70" w:type="dxa"/>
              <w:bottom w:w="0" w:type="dxa"/>
              <w:right w:w="70" w:type="dxa"/>
            </w:tcMar>
            <w:hideMark/>
          </w:tcPr>
          <w:p w14:paraId="0394D5FE" w14:textId="77777777" w:rsidR="00DF7DEC" w:rsidRPr="00335316" w:rsidRDefault="00DF7DEC" w:rsidP="00601BC3">
            <w:pPr>
              <w:rPr>
                <w:color w:val="000000" w:themeColor="text1"/>
                <w:sz w:val="20"/>
                <w:szCs w:val="20"/>
                <w:lang w:eastAsia="da-DK"/>
              </w:rPr>
            </w:pPr>
            <w:r w:rsidRPr="00335316">
              <w:rPr>
                <w:color w:val="000000" w:themeColor="text1"/>
                <w:sz w:val="20"/>
                <w:szCs w:val="20"/>
                <w:lang w:eastAsia="da-DK"/>
              </w:rPr>
              <w:t>Rest til fordeling</w:t>
            </w:r>
          </w:p>
        </w:tc>
        <w:tc>
          <w:tcPr>
            <w:tcW w:w="1141" w:type="dxa"/>
            <w:noWrap/>
            <w:tcMar>
              <w:top w:w="0" w:type="dxa"/>
              <w:left w:w="70" w:type="dxa"/>
              <w:bottom w:w="0" w:type="dxa"/>
              <w:right w:w="70" w:type="dxa"/>
            </w:tcMar>
            <w:hideMark/>
          </w:tcPr>
          <w:p w14:paraId="7FE21144"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 </w:t>
            </w:r>
          </w:p>
        </w:tc>
        <w:tc>
          <w:tcPr>
            <w:tcW w:w="1344" w:type="dxa"/>
            <w:noWrap/>
            <w:tcMar>
              <w:top w:w="0" w:type="dxa"/>
              <w:left w:w="70" w:type="dxa"/>
              <w:bottom w:w="0" w:type="dxa"/>
              <w:right w:w="70" w:type="dxa"/>
            </w:tcMar>
            <w:hideMark/>
          </w:tcPr>
          <w:p w14:paraId="1EBD4D0D" w14:textId="77777777" w:rsidR="00DF7DEC" w:rsidRPr="00335316" w:rsidRDefault="00DF7DEC" w:rsidP="00601BC3">
            <w:pPr>
              <w:rPr>
                <w:color w:val="000000" w:themeColor="text1"/>
                <w:sz w:val="20"/>
                <w:szCs w:val="20"/>
                <w:lang w:eastAsia="da-DK"/>
              </w:rPr>
            </w:pPr>
          </w:p>
        </w:tc>
        <w:tc>
          <w:tcPr>
            <w:tcW w:w="1208" w:type="dxa"/>
            <w:noWrap/>
            <w:tcMar>
              <w:top w:w="0" w:type="dxa"/>
              <w:left w:w="70" w:type="dxa"/>
              <w:bottom w:w="0" w:type="dxa"/>
              <w:right w:w="70" w:type="dxa"/>
            </w:tcMar>
            <w:hideMark/>
          </w:tcPr>
          <w:p w14:paraId="5F419C33" w14:textId="77777777" w:rsidR="00DF7DEC" w:rsidRPr="00335316" w:rsidRDefault="00DF7DEC" w:rsidP="00601BC3">
            <w:pPr>
              <w:jc w:val="right"/>
              <w:rPr>
                <w:rFonts w:eastAsiaTheme="minorHAnsi"/>
                <w:color w:val="000000" w:themeColor="text1"/>
                <w:sz w:val="20"/>
                <w:szCs w:val="20"/>
                <w:lang w:eastAsia="da-DK"/>
              </w:rPr>
            </w:pPr>
            <w:r w:rsidRPr="00335316">
              <w:rPr>
                <w:color w:val="000000" w:themeColor="text1"/>
                <w:sz w:val="20"/>
                <w:szCs w:val="20"/>
                <w:lang w:eastAsia="da-DK"/>
              </w:rPr>
              <w:t>2.000.000</w:t>
            </w:r>
          </w:p>
        </w:tc>
      </w:tr>
      <w:tr w:rsidR="00DF7DEC" w:rsidRPr="00900771" w14:paraId="6C224E40" w14:textId="77777777" w:rsidTr="00601BC3">
        <w:trPr>
          <w:trHeight w:val="255"/>
        </w:trPr>
        <w:tc>
          <w:tcPr>
            <w:tcW w:w="5382" w:type="dxa"/>
            <w:noWrap/>
            <w:tcMar>
              <w:top w:w="0" w:type="dxa"/>
              <w:left w:w="70" w:type="dxa"/>
              <w:bottom w:w="0" w:type="dxa"/>
              <w:right w:w="70" w:type="dxa"/>
            </w:tcMar>
            <w:hideMark/>
          </w:tcPr>
          <w:p w14:paraId="1DEFA74B" w14:textId="77777777" w:rsidR="00DF7DEC" w:rsidRPr="00335316" w:rsidRDefault="00DF7DEC" w:rsidP="00601BC3">
            <w:pPr>
              <w:rPr>
                <w:color w:val="000000" w:themeColor="text1"/>
                <w:sz w:val="20"/>
                <w:szCs w:val="20"/>
                <w:lang w:eastAsia="da-DK"/>
              </w:rPr>
            </w:pPr>
            <w:r w:rsidRPr="00335316">
              <w:rPr>
                <w:color w:val="000000" w:themeColor="text1"/>
                <w:sz w:val="20"/>
                <w:szCs w:val="20"/>
                <w:lang w:eastAsia="da-DK"/>
              </w:rPr>
              <w:t>Videreføres til tilbud 2 og 3 i centeret</w:t>
            </w:r>
            <w:r w:rsidRPr="00335316">
              <w:rPr>
                <w:rStyle w:val="Fodnotehenvisning"/>
                <w:color w:val="000000" w:themeColor="text1"/>
                <w:sz w:val="20"/>
                <w:szCs w:val="20"/>
                <w:lang w:eastAsia="da-DK"/>
              </w:rPr>
              <w:footnoteReference w:id="5"/>
            </w:r>
          </w:p>
        </w:tc>
        <w:tc>
          <w:tcPr>
            <w:tcW w:w="1141" w:type="dxa"/>
            <w:noWrap/>
            <w:tcMar>
              <w:top w:w="0" w:type="dxa"/>
              <w:left w:w="70" w:type="dxa"/>
              <w:bottom w:w="0" w:type="dxa"/>
              <w:right w:w="70" w:type="dxa"/>
            </w:tcMar>
            <w:hideMark/>
          </w:tcPr>
          <w:p w14:paraId="0DF1A790"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 </w:t>
            </w:r>
          </w:p>
        </w:tc>
        <w:tc>
          <w:tcPr>
            <w:tcW w:w="1344" w:type="dxa"/>
            <w:noWrap/>
            <w:tcMar>
              <w:top w:w="0" w:type="dxa"/>
              <w:left w:w="70" w:type="dxa"/>
              <w:bottom w:w="0" w:type="dxa"/>
              <w:right w:w="70" w:type="dxa"/>
            </w:tcMar>
            <w:hideMark/>
          </w:tcPr>
          <w:p w14:paraId="0AB60573"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1.333.333</w:t>
            </w:r>
          </w:p>
        </w:tc>
        <w:tc>
          <w:tcPr>
            <w:tcW w:w="1208" w:type="dxa"/>
            <w:noWrap/>
            <w:tcMar>
              <w:top w:w="0" w:type="dxa"/>
              <w:left w:w="70" w:type="dxa"/>
              <w:bottom w:w="0" w:type="dxa"/>
              <w:right w:w="70" w:type="dxa"/>
            </w:tcMar>
            <w:hideMark/>
          </w:tcPr>
          <w:p w14:paraId="03FBC0DB"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1.333.333</w:t>
            </w:r>
          </w:p>
        </w:tc>
      </w:tr>
      <w:tr w:rsidR="00DF7DEC" w:rsidRPr="00900771" w14:paraId="139B59ED" w14:textId="77777777" w:rsidTr="00601BC3">
        <w:trPr>
          <w:trHeight w:val="270"/>
        </w:trPr>
        <w:tc>
          <w:tcPr>
            <w:tcW w:w="5382" w:type="dxa"/>
            <w:noWrap/>
            <w:tcMar>
              <w:top w:w="0" w:type="dxa"/>
              <w:left w:w="70" w:type="dxa"/>
              <w:bottom w:w="0" w:type="dxa"/>
              <w:right w:w="70" w:type="dxa"/>
            </w:tcMar>
            <w:hideMark/>
          </w:tcPr>
          <w:p w14:paraId="7B20CC08" w14:textId="77777777" w:rsidR="00DF7DEC" w:rsidRPr="00335316" w:rsidRDefault="00DF7DEC" w:rsidP="00601BC3">
            <w:pPr>
              <w:rPr>
                <w:color w:val="000000" w:themeColor="text1"/>
                <w:sz w:val="20"/>
                <w:szCs w:val="20"/>
                <w:lang w:eastAsia="da-DK"/>
              </w:rPr>
            </w:pPr>
            <w:r w:rsidRPr="00335316">
              <w:rPr>
                <w:color w:val="000000" w:themeColor="text1"/>
                <w:sz w:val="20"/>
                <w:szCs w:val="20"/>
                <w:lang w:eastAsia="da-DK"/>
              </w:rPr>
              <w:t>Rest til fordeling</w:t>
            </w:r>
          </w:p>
        </w:tc>
        <w:tc>
          <w:tcPr>
            <w:tcW w:w="1141" w:type="dxa"/>
            <w:noWrap/>
            <w:tcMar>
              <w:top w:w="0" w:type="dxa"/>
              <w:left w:w="70" w:type="dxa"/>
              <w:bottom w:w="0" w:type="dxa"/>
              <w:right w:w="70" w:type="dxa"/>
            </w:tcMar>
            <w:hideMark/>
          </w:tcPr>
          <w:p w14:paraId="34404691" w14:textId="77777777" w:rsidR="00DF7DEC" w:rsidRPr="00335316" w:rsidRDefault="00DF7DEC" w:rsidP="00601BC3">
            <w:pPr>
              <w:rPr>
                <w:color w:val="000000" w:themeColor="text1"/>
                <w:sz w:val="20"/>
                <w:szCs w:val="20"/>
                <w:lang w:eastAsia="da-DK"/>
              </w:rPr>
            </w:pPr>
            <w:r w:rsidRPr="00335316">
              <w:rPr>
                <w:color w:val="000000" w:themeColor="text1"/>
                <w:sz w:val="20"/>
                <w:szCs w:val="20"/>
                <w:lang w:eastAsia="da-DK"/>
              </w:rPr>
              <w:t> </w:t>
            </w:r>
          </w:p>
        </w:tc>
        <w:tc>
          <w:tcPr>
            <w:tcW w:w="1344" w:type="dxa"/>
            <w:noWrap/>
            <w:tcMar>
              <w:top w:w="0" w:type="dxa"/>
              <w:left w:w="70" w:type="dxa"/>
              <w:bottom w:w="0" w:type="dxa"/>
              <w:right w:w="70" w:type="dxa"/>
            </w:tcMar>
            <w:hideMark/>
          </w:tcPr>
          <w:p w14:paraId="20E005AA" w14:textId="77777777" w:rsidR="00DF7DEC" w:rsidRPr="00335316" w:rsidRDefault="00DF7DEC" w:rsidP="00601BC3">
            <w:pPr>
              <w:rPr>
                <w:color w:val="000000" w:themeColor="text1"/>
                <w:sz w:val="20"/>
                <w:szCs w:val="20"/>
                <w:lang w:eastAsia="da-DK"/>
              </w:rPr>
            </w:pPr>
            <w:r w:rsidRPr="00335316">
              <w:rPr>
                <w:color w:val="000000" w:themeColor="text1"/>
                <w:sz w:val="20"/>
                <w:szCs w:val="20"/>
                <w:lang w:eastAsia="da-DK"/>
              </w:rPr>
              <w:t> </w:t>
            </w:r>
          </w:p>
        </w:tc>
        <w:tc>
          <w:tcPr>
            <w:tcW w:w="1208" w:type="dxa"/>
            <w:noWrap/>
            <w:tcMar>
              <w:top w:w="0" w:type="dxa"/>
              <w:left w:w="70" w:type="dxa"/>
              <w:bottom w:w="0" w:type="dxa"/>
              <w:right w:w="70" w:type="dxa"/>
            </w:tcMar>
            <w:hideMark/>
          </w:tcPr>
          <w:p w14:paraId="4D460E31"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666.667</w:t>
            </w:r>
          </w:p>
        </w:tc>
      </w:tr>
      <w:tr w:rsidR="00DF7DEC" w:rsidRPr="00900771" w14:paraId="63A97D01" w14:textId="77777777" w:rsidTr="00601BC3">
        <w:trPr>
          <w:trHeight w:val="270"/>
        </w:trPr>
        <w:tc>
          <w:tcPr>
            <w:tcW w:w="5382" w:type="dxa"/>
            <w:noWrap/>
            <w:tcMar>
              <w:top w:w="0" w:type="dxa"/>
              <w:left w:w="70" w:type="dxa"/>
              <w:bottom w:w="0" w:type="dxa"/>
              <w:right w:w="70" w:type="dxa"/>
            </w:tcMar>
            <w:hideMark/>
          </w:tcPr>
          <w:p w14:paraId="49D590B2" w14:textId="77777777" w:rsidR="00DF7DEC" w:rsidRPr="00335316" w:rsidRDefault="00DF7DEC" w:rsidP="00601BC3">
            <w:pPr>
              <w:rPr>
                <w:color w:val="000000" w:themeColor="text1"/>
                <w:sz w:val="20"/>
                <w:szCs w:val="20"/>
                <w:lang w:eastAsia="da-DK"/>
              </w:rPr>
            </w:pPr>
            <w:r w:rsidRPr="00335316">
              <w:rPr>
                <w:color w:val="000000" w:themeColor="text1"/>
                <w:sz w:val="20"/>
                <w:szCs w:val="20"/>
                <w:lang w:eastAsia="da-DK"/>
              </w:rPr>
              <w:t xml:space="preserve">Driftsherres andel efter forbrugte antal pladser (33%) </w:t>
            </w:r>
            <w:r w:rsidRPr="00335316">
              <w:rPr>
                <w:rStyle w:val="Fodnotehenvisning"/>
                <w:color w:val="000000" w:themeColor="text1"/>
                <w:sz w:val="20"/>
                <w:szCs w:val="20"/>
                <w:lang w:eastAsia="da-DK"/>
              </w:rPr>
              <w:footnoteReference w:id="6"/>
            </w:r>
          </w:p>
        </w:tc>
        <w:tc>
          <w:tcPr>
            <w:tcW w:w="1141" w:type="dxa"/>
            <w:noWrap/>
            <w:tcMar>
              <w:top w:w="0" w:type="dxa"/>
              <w:left w:w="70" w:type="dxa"/>
              <w:bottom w:w="0" w:type="dxa"/>
              <w:right w:w="70" w:type="dxa"/>
            </w:tcMar>
            <w:hideMark/>
          </w:tcPr>
          <w:p w14:paraId="211CCDF7"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 </w:t>
            </w:r>
          </w:p>
        </w:tc>
        <w:tc>
          <w:tcPr>
            <w:tcW w:w="1344" w:type="dxa"/>
            <w:noWrap/>
            <w:tcMar>
              <w:top w:w="0" w:type="dxa"/>
              <w:left w:w="70" w:type="dxa"/>
              <w:bottom w:w="0" w:type="dxa"/>
              <w:right w:w="70" w:type="dxa"/>
            </w:tcMar>
            <w:hideMark/>
          </w:tcPr>
          <w:p w14:paraId="69163347"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 </w:t>
            </w:r>
          </w:p>
        </w:tc>
        <w:tc>
          <w:tcPr>
            <w:tcW w:w="1208" w:type="dxa"/>
            <w:noWrap/>
            <w:tcMar>
              <w:top w:w="0" w:type="dxa"/>
              <w:left w:w="70" w:type="dxa"/>
              <w:bottom w:w="0" w:type="dxa"/>
              <w:right w:w="70" w:type="dxa"/>
            </w:tcMar>
            <w:hideMark/>
          </w:tcPr>
          <w:p w14:paraId="13BA0DA0"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220.000</w:t>
            </w:r>
          </w:p>
        </w:tc>
      </w:tr>
      <w:tr w:rsidR="00DF7DEC" w:rsidRPr="00900771" w14:paraId="6EA5459A" w14:textId="77777777" w:rsidTr="00601BC3">
        <w:trPr>
          <w:trHeight w:val="270"/>
        </w:trPr>
        <w:tc>
          <w:tcPr>
            <w:tcW w:w="5382" w:type="dxa"/>
            <w:noWrap/>
            <w:tcMar>
              <w:top w:w="0" w:type="dxa"/>
              <w:left w:w="70" w:type="dxa"/>
              <w:bottom w:w="0" w:type="dxa"/>
              <w:right w:w="70" w:type="dxa"/>
            </w:tcMar>
          </w:tcPr>
          <w:p w14:paraId="782D6CF2" w14:textId="77777777" w:rsidR="00DF7DEC" w:rsidRPr="00335316" w:rsidRDefault="00DF7DEC" w:rsidP="00601BC3">
            <w:pPr>
              <w:rPr>
                <w:color w:val="000000" w:themeColor="text1"/>
                <w:sz w:val="20"/>
                <w:szCs w:val="20"/>
                <w:lang w:eastAsia="da-DK"/>
              </w:rPr>
            </w:pPr>
            <w:r w:rsidRPr="00335316">
              <w:rPr>
                <w:color w:val="000000" w:themeColor="text1"/>
                <w:sz w:val="20"/>
                <w:szCs w:val="20"/>
                <w:lang w:eastAsia="da-DK"/>
              </w:rPr>
              <w:t>Betalingskommuners andel efter forbrugte antal pladser</w:t>
            </w:r>
          </w:p>
        </w:tc>
        <w:tc>
          <w:tcPr>
            <w:tcW w:w="1141" w:type="dxa"/>
            <w:noWrap/>
            <w:tcMar>
              <w:top w:w="0" w:type="dxa"/>
              <w:left w:w="70" w:type="dxa"/>
              <w:bottom w:w="0" w:type="dxa"/>
              <w:right w:w="70" w:type="dxa"/>
            </w:tcMar>
          </w:tcPr>
          <w:p w14:paraId="01B97B1A" w14:textId="77777777" w:rsidR="00DF7DEC" w:rsidRPr="00335316" w:rsidRDefault="00DF7DEC" w:rsidP="00601BC3">
            <w:pPr>
              <w:jc w:val="right"/>
              <w:rPr>
                <w:color w:val="000000" w:themeColor="text1"/>
                <w:sz w:val="20"/>
                <w:szCs w:val="20"/>
                <w:lang w:eastAsia="da-DK"/>
              </w:rPr>
            </w:pPr>
          </w:p>
        </w:tc>
        <w:tc>
          <w:tcPr>
            <w:tcW w:w="1344" w:type="dxa"/>
            <w:noWrap/>
            <w:tcMar>
              <w:top w:w="0" w:type="dxa"/>
              <w:left w:w="70" w:type="dxa"/>
              <w:bottom w:w="0" w:type="dxa"/>
              <w:right w:w="70" w:type="dxa"/>
            </w:tcMar>
          </w:tcPr>
          <w:p w14:paraId="43B4393C" w14:textId="77777777" w:rsidR="00DF7DEC" w:rsidRPr="00335316" w:rsidRDefault="00DF7DEC" w:rsidP="00601BC3">
            <w:pPr>
              <w:jc w:val="right"/>
              <w:rPr>
                <w:color w:val="000000" w:themeColor="text1"/>
                <w:sz w:val="20"/>
                <w:szCs w:val="20"/>
                <w:lang w:eastAsia="da-DK"/>
              </w:rPr>
            </w:pPr>
          </w:p>
        </w:tc>
        <w:tc>
          <w:tcPr>
            <w:tcW w:w="1208" w:type="dxa"/>
            <w:noWrap/>
            <w:tcMar>
              <w:top w:w="0" w:type="dxa"/>
              <w:left w:w="70" w:type="dxa"/>
              <w:bottom w:w="0" w:type="dxa"/>
              <w:right w:w="70" w:type="dxa"/>
            </w:tcMar>
          </w:tcPr>
          <w:p w14:paraId="740493C1"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446.667</w:t>
            </w:r>
          </w:p>
        </w:tc>
      </w:tr>
      <w:tr w:rsidR="00DF7DEC" w:rsidRPr="00900771" w14:paraId="44B7AEF2" w14:textId="77777777" w:rsidTr="00601BC3">
        <w:trPr>
          <w:trHeight w:val="255"/>
        </w:trPr>
        <w:tc>
          <w:tcPr>
            <w:tcW w:w="7867" w:type="dxa"/>
            <w:gridSpan w:val="3"/>
            <w:noWrap/>
            <w:tcMar>
              <w:top w:w="0" w:type="dxa"/>
              <w:left w:w="70" w:type="dxa"/>
              <w:bottom w:w="0" w:type="dxa"/>
              <w:right w:w="70" w:type="dxa"/>
            </w:tcMar>
            <w:hideMark/>
          </w:tcPr>
          <w:p w14:paraId="556C13C3" w14:textId="77777777" w:rsidR="00DF7DEC" w:rsidRPr="00335316" w:rsidRDefault="00DF7DEC" w:rsidP="00601BC3">
            <w:pPr>
              <w:rPr>
                <w:color w:val="000000" w:themeColor="text1"/>
                <w:sz w:val="20"/>
                <w:szCs w:val="20"/>
                <w:lang w:eastAsia="da-DK"/>
              </w:rPr>
            </w:pPr>
            <w:r w:rsidRPr="00335316">
              <w:rPr>
                <w:color w:val="000000" w:themeColor="text1"/>
                <w:sz w:val="20"/>
                <w:szCs w:val="20"/>
                <w:lang w:eastAsia="da-DK"/>
              </w:rPr>
              <w:t>Samlet for driftsherre: selvrisiko+ tilbud 2 og 3 i centeret + egne forbrugte pladser</w:t>
            </w:r>
          </w:p>
        </w:tc>
        <w:tc>
          <w:tcPr>
            <w:tcW w:w="1208" w:type="dxa"/>
            <w:noWrap/>
            <w:tcMar>
              <w:top w:w="0" w:type="dxa"/>
              <w:left w:w="70" w:type="dxa"/>
              <w:bottom w:w="0" w:type="dxa"/>
              <w:right w:w="70" w:type="dxa"/>
            </w:tcMar>
            <w:hideMark/>
          </w:tcPr>
          <w:p w14:paraId="2E3F128E" w14:textId="77777777" w:rsidR="00DF7DEC" w:rsidRPr="00335316" w:rsidRDefault="00DF7DEC" w:rsidP="00601BC3">
            <w:pPr>
              <w:jc w:val="right"/>
              <w:rPr>
                <w:color w:val="000000" w:themeColor="text1"/>
                <w:sz w:val="20"/>
                <w:szCs w:val="20"/>
                <w:lang w:eastAsia="da-DK"/>
              </w:rPr>
            </w:pPr>
            <w:r w:rsidRPr="00335316">
              <w:rPr>
                <w:color w:val="000000" w:themeColor="text1"/>
                <w:sz w:val="20"/>
                <w:szCs w:val="20"/>
                <w:lang w:eastAsia="da-DK"/>
              </w:rPr>
              <w:t>4.553.333</w:t>
            </w:r>
          </w:p>
        </w:tc>
      </w:tr>
    </w:tbl>
    <w:p w14:paraId="55BF6031" w14:textId="77777777" w:rsidR="00DF7DEC" w:rsidRPr="00900771" w:rsidRDefault="00DF7DEC" w:rsidP="00DF7DEC">
      <w:pPr>
        <w:pStyle w:val="Overskrift2"/>
        <w:spacing w:before="1"/>
        <w:ind w:left="0"/>
        <w:rPr>
          <w:b w:val="0"/>
          <w:bCs w:val="0"/>
          <w:i/>
          <w:iCs/>
          <w:color w:val="000000" w:themeColor="text1"/>
        </w:rPr>
      </w:pPr>
    </w:p>
    <w:p w14:paraId="29DA0F52" w14:textId="77777777" w:rsidR="00DF7DEC" w:rsidRPr="00900771" w:rsidRDefault="00DF7DEC" w:rsidP="00DF7DEC">
      <w:pPr>
        <w:pStyle w:val="Overskrift2"/>
        <w:spacing w:before="1"/>
        <w:ind w:left="0"/>
        <w:rPr>
          <w:b w:val="0"/>
          <w:bCs w:val="0"/>
          <w:color w:val="000000" w:themeColor="text1"/>
          <w:u w:val="single"/>
        </w:rPr>
      </w:pPr>
      <w:r w:rsidRPr="00900771">
        <w:rPr>
          <w:b w:val="0"/>
          <w:bCs w:val="0"/>
          <w:color w:val="000000" w:themeColor="text1"/>
          <w:u w:val="single"/>
        </w:rPr>
        <w:t>Principper for efterreguleringen</w:t>
      </w:r>
    </w:p>
    <w:p w14:paraId="2D8A7643" w14:textId="77777777" w:rsidR="00DF7DEC" w:rsidRPr="00900771" w:rsidRDefault="00DF7DEC" w:rsidP="00DF7DEC">
      <w:pPr>
        <w:pStyle w:val="Brdtekst"/>
        <w:spacing w:before="159"/>
        <w:rPr>
          <w:color w:val="000000" w:themeColor="text1"/>
        </w:rPr>
      </w:pPr>
      <w:r w:rsidRPr="00900771">
        <w:rPr>
          <w:color w:val="000000" w:themeColor="text1"/>
        </w:rPr>
        <w:t xml:space="preserve">Efterreguleringen ved lukningen af tilbud sker </w:t>
      </w:r>
      <w:r>
        <w:rPr>
          <w:color w:val="000000" w:themeColor="text1"/>
        </w:rPr>
        <w:t xml:space="preserve">ved en </w:t>
      </w:r>
      <w:r w:rsidRPr="00900771">
        <w:rPr>
          <w:color w:val="000000" w:themeColor="text1"/>
        </w:rPr>
        <w:t>forholdsmæssig fordeling</w:t>
      </w:r>
      <w:r>
        <w:rPr>
          <w:color w:val="000000" w:themeColor="text1"/>
        </w:rPr>
        <w:t xml:space="preserve"> </w:t>
      </w:r>
      <w:r w:rsidRPr="00900771">
        <w:rPr>
          <w:color w:val="000000" w:themeColor="text1"/>
        </w:rPr>
        <w:t xml:space="preserve">mellem betalingskommunerne efter deres andel af den samlede omsætning i to regnskabsår forud for det år, </w:t>
      </w:r>
      <w:r w:rsidRPr="00900771">
        <w:rPr>
          <w:color w:val="000000" w:themeColor="text1"/>
        </w:rPr>
        <w:lastRenderedPageBreak/>
        <w:t>hvori beslutning om lukning af tilbud træffes.</w:t>
      </w:r>
      <w:r w:rsidRPr="00900771">
        <w:rPr>
          <w:rStyle w:val="Fodnotehenvisning"/>
          <w:color w:val="000000" w:themeColor="text1"/>
        </w:rPr>
        <w:footnoteReference w:id="7"/>
      </w:r>
      <w:r w:rsidRPr="00900771">
        <w:rPr>
          <w:color w:val="000000" w:themeColor="text1"/>
        </w:rPr>
        <w:t xml:space="preserve"> På denne måde sikres det, at kommuner i videst muligt omfang kan fortsætte deres visitation til tilbuddet længst muligt uden at </w:t>
      </w:r>
      <w:r>
        <w:rPr>
          <w:color w:val="000000" w:themeColor="text1"/>
        </w:rPr>
        <w:t>kommunen dermed risikerer en øget udgift, i form af en efterregulering, såfremt der er et underskud ved lukningen.</w:t>
      </w:r>
      <w:r w:rsidRPr="00900771">
        <w:rPr>
          <w:color w:val="000000" w:themeColor="text1"/>
        </w:rPr>
        <w:t xml:space="preserve"> Der er således ikke et økonomisk incitament til at </w:t>
      </w:r>
      <w:proofErr w:type="spellStart"/>
      <w:r w:rsidRPr="00900771">
        <w:rPr>
          <w:color w:val="000000" w:themeColor="text1"/>
        </w:rPr>
        <w:t>omvisitere</w:t>
      </w:r>
      <w:proofErr w:type="spellEnd"/>
      <w:r w:rsidRPr="00900771">
        <w:rPr>
          <w:color w:val="000000" w:themeColor="text1"/>
        </w:rPr>
        <w:t xml:space="preserve"> borgere, der er på et tilbud, der er besluttet lukket. Formålet er at begrænse nedlukningsomkostningerne og at skabe de bedste betingelser for en kontrolleret nedlukning.</w:t>
      </w:r>
    </w:p>
    <w:p w14:paraId="33E7A808" w14:textId="77777777" w:rsidR="00DF7DEC" w:rsidRPr="00900771" w:rsidRDefault="00DF7DEC" w:rsidP="00DF7DEC">
      <w:pPr>
        <w:pStyle w:val="Brdtekst"/>
        <w:spacing w:before="160"/>
        <w:rPr>
          <w:color w:val="000000" w:themeColor="text1"/>
        </w:rPr>
      </w:pPr>
      <w:r w:rsidRPr="00900771">
        <w:rPr>
          <w:color w:val="000000" w:themeColor="text1"/>
        </w:rPr>
        <w:t xml:space="preserve">I efterreguleringen indregnes driftsudgifter og </w:t>
      </w:r>
      <w:r>
        <w:rPr>
          <w:color w:val="000000" w:themeColor="text1"/>
        </w:rPr>
        <w:t xml:space="preserve">indtægter ved </w:t>
      </w:r>
      <w:r w:rsidRPr="00900771">
        <w:rPr>
          <w:color w:val="000000" w:themeColor="text1"/>
        </w:rPr>
        <w:t>salg af inventar mv., som er afskrevet. Værdien af bygninger, grunde samt inventar, der ikke er afskrevet, indgår ikke i opgørelsen, mens forrentning og afskrivning kan indregnes i forhold til det antal måneder, tilbuddet har været i drift i det sidste år.</w:t>
      </w:r>
    </w:p>
    <w:p w14:paraId="5925FD84" w14:textId="77777777" w:rsidR="00DF7DEC" w:rsidRPr="00900771" w:rsidRDefault="00DF7DEC" w:rsidP="00DF7DEC">
      <w:pPr>
        <w:pStyle w:val="Overskrift2"/>
        <w:spacing w:before="116"/>
        <w:ind w:left="0"/>
        <w:rPr>
          <w:color w:val="000000" w:themeColor="text1"/>
        </w:rPr>
      </w:pPr>
      <w:r w:rsidRPr="00900771">
        <w:rPr>
          <w:color w:val="000000" w:themeColor="text1"/>
        </w:rPr>
        <w:t xml:space="preserve">Lukning </w:t>
      </w:r>
      <w:r>
        <w:rPr>
          <w:color w:val="000000" w:themeColor="text1"/>
        </w:rPr>
        <w:t>af et regionalt tilbud eller regionale selvstændige økonomiske enheder.</w:t>
      </w:r>
    </w:p>
    <w:p w14:paraId="217B9D27" w14:textId="77777777" w:rsidR="00DF7DEC" w:rsidRPr="00A75EEB" w:rsidRDefault="00DF7DEC" w:rsidP="00DF7DEC">
      <w:pPr>
        <w:pStyle w:val="Brdtekst"/>
        <w:spacing w:before="160"/>
        <w:rPr>
          <w:color w:val="000000" w:themeColor="text1"/>
          <w:u w:val="single"/>
        </w:rPr>
      </w:pPr>
      <w:r w:rsidRPr="00A75EEB">
        <w:rPr>
          <w:color w:val="000000" w:themeColor="text1"/>
          <w:u w:val="single"/>
        </w:rPr>
        <w:t>Lukning af e</w:t>
      </w:r>
      <w:r>
        <w:rPr>
          <w:color w:val="000000" w:themeColor="text1"/>
          <w:u w:val="single"/>
        </w:rPr>
        <w:t>t</w:t>
      </w:r>
      <w:r w:rsidRPr="00A75EEB">
        <w:rPr>
          <w:color w:val="000000" w:themeColor="text1"/>
          <w:u w:val="single"/>
        </w:rPr>
        <w:t xml:space="preserve"> </w:t>
      </w:r>
      <w:r>
        <w:rPr>
          <w:color w:val="000000" w:themeColor="text1"/>
          <w:u w:val="single"/>
        </w:rPr>
        <w:t>regionalt selvstændigt tilbud</w:t>
      </w:r>
    </w:p>
    <w:p w14:paraId="1E489FBC" w14:textId="77777777" w:rsidR="00DF7DEC" w:rsidRPr="00A75EEB" w:rsidRDefault="00DF7DEC" w:rsidP="00DF7DEC">
      <w:pPr>
        <w:pStyle w:val="Brdtekst"/>
        <w:rPr>
          <w:color w:val="000000" w:themeColor="text1"/>
        </w:rPr>
      </w:pPr>
    </w:p>
    <w:p w14:paraId="6324BC79" w14:textId="77777777" w:rsidR="00DF7DEC" w:rsidRPr="00A75EEB" w:rsidRDefault="00DF7DEC" w:rsidP="00DF7DEC">
      <w:pPr>
        <w:pStyle w:val="Brdtekst"/>
        <w:rPr>
          <w:color w:val="000000" w:themeColor="text1"/>
        </w:rPr>
      </w:pPr>
      <w:r w:rsidRPr="00A75EEB">
        <w:rPr>
          <w:color w:val="000000" w:themeColor="text1"/>
        </w:rPr>
        <w:t>Et eventuelt underskud ved lukning af e</w:t>
      </w:r>
      <w:r>
        <w:rPr>
          <w:color w:val="000000" w:themeColor="text1"/>
        </w:rPr>
        <w:t>t</w:t>
      </w:r>
      <w:r w:rsidRPr="00A75EEB">
        <w:rPr>
          <w:color w:val="000000" w:themeColor="text1"/>
        </w:rPr>
        <w:t xml:space="preserve"> selvstændig</w:t>
      </w:r>
      <w:r>
        <w:rPr>
          <w:color w:val="000000" w:themeColor="text1"/>
        </w:rPr>
        <w:t>t</w:t>
      </w:r>
      <w:r w:rsidRPr="00A75EEB">
        <w:rPr>
          <w:color w:val="000000" w:themeColor="text1"/>
        </w:rPr>
        <w:t xml:space="preserve"> </w:t>
      </w:r>
      <w:r>
        <w:rPr>
          <w:color w:val="000000" w:themeColor="text1"/>
        </w:rPr>
        <w:t xml:space="preserve">tilbud </w:t>
      </w:r>
      <w:r w:rsidRPr="00A75EEB">
        <w:rPr>
          <w:color w:val="000000" w:themeColor="text1"/>
        </w:rPr>
        <w:t xml:space="preserve">skal fordeles forholdsmæssigt ud fra omkostningsbudgettet på de øvrige </w:t>
      </w:r>
      <w:r>
        <w:rPr>
          <w:color w:val="000000" w:themeColor="text1"/>
        </w:rPr>
        <w:t xml:space="preserve">tilbud </w:t>
      </w:r>
      <w:r w:rsidRPr="00A75EEB">
        <w:rPr>
          <w:color w:val="000000" w:themeColor="text1"/>
        </w:rPr>
        <w:t xml:space="preserve">som beskrevet i beregningseksempel </w:t>
      </w:r>
      <w:r>
        <w:rPr>
          <w:color w:val="000000" w:themeColor="text1"/>
        </w:rPr>
        <w:t>3</w:t>
      </w:r>
      <w:r w:rsidRPr="00A75EEB">
        <w:rPr>
          <w:color w:val="000000" w:themeColor="text1"/>
        </w:rPr>
        <w:t>.</w:t>
      </w:r>
    </w:p>
    <w:p w14:paraId="135F4B3F" w14:textId="77777777" w:rsidR="00DF7DEC" w:rsidRDefault="00DF7DEC" w:rsidP="00DF7DEC">
      <w:pPr>
        <w:pStyle w:val="Brdtekst"/>
        <w:rPr>
          <w:color w:val="000000" w:themeColor="text1"/>
        </w:rPr>
      </w:pPr>
    </w:p>
    <w:p w14:paraId="49D668D5" w14:textId="77777777" w:rsidR="00DF7DEC" w:rsidRPr="00A75EEB" w:rsidRDefault="00DF7DEC" w:rsidP="00DF7DEC">
      <w:pPr>
        <w:pStyle w:val="Brdtekst"/>
        <w:rPr>
          <w:color w:val="000000" w:themeColor="text1"/>
        </w:rPr>
      </w:pPr>
      <w:r w:rsidRPr="00A75EEB">
        <w:rPr>
          <w:color w:val="000000" w:themeColor="text1"/>
        </w:rPr>
        <w:t xml:space="preserve">Eventuelle overførte overskud eller underskud skal indgå i beregningen, idet det tillægges årsresultatet. </w:t>
      </w:r>
    </w:p>
    <w:p w14:paraId="41808F04" w14:textId="77777777" w:rsidR="00DF7DEC" w:rsidRPr="00A75EEB" w:rsidRDefault="00DF7DEC" w:rsidP="00DF7DEC">
      <w:pPr>
        <w:pStyle w:val="Brdtekst"/>
        <w:rPr>
          <w:color w:val="000000" w:themeColor="text1"/>
        </w:rPr>
      </w:pPr>
    </w:p>
    <w:p w14:paraId="7BFB6BE9" w14:textId="77777777" w:rsidR="00DF7DEC" w:rsidRPr="00A75EEB" w:rsidRDefault="00DF7DEC" w:rsidP="00DF7DEC">
      <w:pPr>
        <w:pStyle w:val="Brdtekst"/>
        <w:rPr>
          <w:color w:val="000000" w:themeColor="text1"/>
        </w:rPr>
      </w:pPr>
      <w:r w:rsidRPr="00A75EEB">
        <w:rPr>
          <w:color w:val="000000" w:themeColor="text1"/>
        </w:rPr>
        <w:t>Såfremt der vurderes en mere hensig</w:t>
      </w:r>
      <w:r>
        <w:rPr>
          <w:color w:val="000000" w:themeColor="text1"/>
        </w:rPr>
        <w:t>ts</w:t>
      </w:r>
      <w:r w:rsidRPr="00A75EEB">
        <w:rPr>
          <w:color w:val="000000" w:themeColor="text1"/>
        </w:rPr>
        <w:t>mæssig model i den konkrete situation, vil en sådan model skulle anbefales af KKR</w:t>
      </w:r>
      <w:r>
        <w:rPr>
          <w:color w:val="000000" w:themeColor="text1"/>
        </w:rPr>
        <w:t>.</w:t>
      </w:r>
    </w:p>
    <w:p w14:paraId="7767B337" w14:textId="77777777" w:rsidR="00DF7DEC" w:rsidRPr="00A75EEB" w:rsidRDefault="00DF7DEC" w:rsidP="00DF7DEC">
      <w:pPr>
        <w:pStyle w:val="Brdtekst"/>
        <w:rPr>
          <w:color w:val="000000" w:themeColor="text1"/>
        </w:rPr>
      </w:pPr>
    </w:p>
    <w:p w14:paraId="605342A2" w14:textId="77777777" w:rsidR="00DF7DEC" w:rsidRPr="007F26BE" w:rsidRDefault="00DF7DEC" w:rsidP="00DF7DEC">
      <w:pPr>
        <w:pStyle w:val="Brdtekst"/>
        <w:spacing w:before="96"/>
        <w:rPr>
          <w:b/>
          <w:i/>
          <w:iCs/>
          <w:color w:val="000000" w:themeColor="text1"/>
        </w:rPr>
      </w:pPr>
      <w:r w:rsidRPr="007F26BE">
        <w:rPr>
          <w:b/>
          <w:i/>
          <w:iCs/>
          <w:color w:val="000000" w:themeColor="text1"/>
        </w:rPr>
        <w:t>Beregningseksempel 3: Lukning af selvstændig økonomisk enhed</w:t>
      </w:r>
    </w:p>
    <w:p w14:paraId="75303237" w14:textId="77777777" w:rsidR="00DF7DEC" w:rsidRPr="00900771" w:rsidRDefault="00DF7DEC" w:rsidP="00DF7DEC">
      <w:pPr>
        <w:rPr>
          <w:color w:val="000000" w:themeColor="text1"/>
        </w:rPr>
      </w:pPr>
    </w:p>
    <w:tbl>
      <w:tblPr>
        <w:tblW w:w="7732" w:type="dxa"/>
        <w:tblCellMar>
          <w:left w:w="70" w:type="dxa"/>
          <w:right w:w="70" w:type="dxa"/>
        </w:tblCellMar>
        <w:tblLook w:val="04A0" w:firstRow="1" w:lastRow="0" w:firstColumn="1" w:lastColumn="0" w:noHBand="0" w:noVBand="1"/>
      </w:tblPr>
      <w:tblGrid>
        <w:gridCol w:w="6733"/>
        <w:gridCol w:w="1141"/>
      </w:tblGrid>
      <w:tr w:rsidR="00DF7DEC" w:rsidRPr="00900771" w14:paraId="0C7568BB" w14:textId="77777777" w:rsidTr="00601BC3">
        <w:trPr>
          <w:trHeight w:val="255"/>
        </w:trPr>
        <w:tc>
          <w:tcPr>
            <w:tcW w:w="6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3615D" w14:textId="77777777" w:rsidR="00DF7DEC" w:rsidRPr="00900771" w:rsidRDefault="00DF7DEC" w:rsidP="00601BC3">
            <w:pPr>
              <w:widowControl/>
              <w:autoSpaceDE/>
              <w:autoSpaceDN/>
              <w:rPr>
                <w:rFonts w:eastAsia="Times New Roman"/>
                <w:color w:val="000000" w:themeColor="text1"/>
                <w:sz w:val="20"/>
                <w:szCs w:val="20"/>
                <w:lang w:eastAsia="da-DK"/>
              </w:rPr>
            </w:pPr>
            <w:proofErr w:type="spellStart"/>
            <w:r>
              <w:rPr>
                <w:rFonts w:eastAsia="Times New Roman"/>
                <w:color w:val="000000" w:themeColor="text1"/>
                <w:sz w:val="20"/>
                <w:szCs w:val="20"/>
                <w:lang w:eastAsia="da-DK"/>
              </w:rPr>
              <w:t>Takstbaseret</w:t>
            </w:r>
            <w:proofErr w:type="spellEnd"/>
            <w:r>
              <w:rPr>
                <w:rFonts w:eastAsia="Times New Roman"/>
                <w:color w:val="000000" w:themeColor="text1"/>
                <w:sz w:val="20"/>
                <w:szCs w:val="20"/>
                <w:lang w:eastAsia="da-DK"/>
              </w:rPr>
              <w:t xml:space="preserve"> omsætning</w:t>
            </w:r>
            <w:r w:rsidRPr="00900771">
              <w:rPr>
                <w:rFonts w:eastAsia="Times New Roman"/>
                <w:color w:val="000000" w:themeColor="text1"/>
                <w:sz w:val="20"/>
                <w:szCs w:val="20"/>
                <w:lang w:eastAsia="da-DK"/>
              </w:rPr>
              <w:t xml:space="preserve"> i året for beslutningen</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14:paraId="7DBB1083"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20.000.000 </w:t>
            </w:r>
          </w:p>
        </w:tc>
      </w:tr>
      <w:tr w:rsidR="00DF7DEC" w:rsidRPr="00900771" w14:paraId="712AF7CF" w14:textId="77777777" w:rsidTr="00601BC3">
        <w:trPr>
          <w:trHeight w:val="255"/>
        </w:trPr>
        <w:tc>
          <w:tcPr>
            <w:tcW w:w="6733" w:type="dxa"/>
            <w:tcBorders>
              <w:top w:val="nil"/>
              <w:left w:val="nil"/>
              <w:bottom w:val="single" w:sz="4" w:space="0" w:color="auto"/>
              <w:right w:val="nil"/>
            </w:tcBorders>
            <w:shd w:val="clear" w:color="auto" w:fill="auto"/>
            <w:noWrap/>
            <w:vAlign w:val="bottom"/>
            <w:hideMark/>
          </w:tcPr>
          <w:p w14:paraId="0F3F7A38"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999" w:type="dxa"/>
            <w:tcBorders>
              <w:top w:val="nil"/>
              <w:left w:val="nil"/>
              <w:bottom w:val="single" w:sz="4" w:space="0" w:color="auto"/>
              <w:right w:val="nil"/>
            </w:tcBorders>
            <w:shd w:val="clear" w:color="auto" w:fill="auto"/>
            <w:noWrap/>
            <w:vAlign w:val="bottom"/>
            <w:hideMark/>
          </w:tcPr>
          <w:p w14:paraId="1140773C"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r>
      <w:tr w:rsidR="00DF7DEC" w:rsidRPr="00900771" w14:paraId="1634C832" w14:textId="77777777" w:rsidTr="00601BC3">
        <w:trPr>
          <w:trHeight w:val="255"/>
        </w:trPr>
        <w:tc>
          <w:tcPr>
            <w:tcW w:w="6733" w:type="dxa"/>
            <w:tcBorders>
              <w:top w:val="nil"/>
              <w:left w:val="single" w:sz="4" w:space="0" w:color="auto"/>
              <w:bottom w:val="single" w:sz="4" w:space="0" w:color="auto"/>
              <w:right w:val="single" w:sz="4" w:space="0" w:color="auto"/>
            </w:tcBorders>
            <w:shd w:val="clear" w:color="auto" w:fill="auto"/>
            <w:noWrap/>
            <w:vAlign w:val="bottom"/>
            <w:hideMark/>
          </w:tcPr>
          <w:p w14:paraId="1871B730"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Indtægter</w:t>
            </w:r>
          </w:p>
        </w:tc>
        <w:tc>
          <w:tcPr>
            <w:tcW w:w="999" w:type="dxa"/>
            <w:tcBorders>
              <w:top w:val="nil"/>
              <w:left w:val="nil"/>
              <w:bottom w:val="single" w:sz="4" w:space="0" w:color="auto"/>
              <w:right w:val="single" w:sz="4" w:space="0" w:color="auto"/>
            </w:tcBorders>
            <w:shd w:val="clear" w:color="auto" w:fill="auto"/>
            <w:noWrap/>
            <w:vAlign w:val="bottom"/>
            <w:hideMark/>
          </w:tcPr>
          <w:p w14:paraId="5D8D70FF"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10.000.000 </w:t>
            </w:r>
          </w:p>
        </w:tc>
      </w:tr>
      <w:tr w:rsidR="00DF7DEC" w:rsidRPr="00900771" w14:paraId="2BD692DF" w14:textId="77777777" w:rsidTr="00601BC3">
        <w:trPr>
          <w:trHeight w:val="255"/>
        </w:trPr>
        <w:tc>
          <w:tcPr>
            <w:tcW w:w="6733" w:type="dxa"/>
            <w:tcBorders>
              <w:top w:val="nil"/>
              <w:left w:val="single" w:sz="4" w:space="0" w:color="auto"/>
              <w:bottom w:val="single" w:sz="4" w:space="0" w:color="auto"/>
              <w:right w:val="single" w:sz="4" w:space="0" w:color="auto"/>
            </w:tcBorders>
            <w:shd w:val="clear" w:color="auto" w:fill="auto"/>
            <w:noWrap/>
            <w:vAlign w:val="bottom"/>
            <w:hideMark/>
          </w:tcPr>
          <w:p w14:paraId="01F0ECAD"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Omkostninger</w:t>
            </w:r>
          </w:p>
        </w:tc>
        <w:tc>
          <w:tcPr>
            <w:tcW w:w="999" w:type="dxa"/>
            <w:tcBorders>
              <w:top w:val="nil"/>
              <w:left w:val="nil"/>
              <w:bottom w:val="single" w:sz="4" w:space="0" w:color="auto"/>
              <w:right w:val="single" w:sz="4" w:space="0" w:color="auto"/>
            </w:tcBorders>
            <w:shd w:val="clear" w:color="auto" w:fill="auto"/>
            <w:noWrap/>
            <w:vAlign w:val="bottom"/>
            <w:hideMark/>
          </w:tcPr>
          <w:p w14:paraId="12B45967"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12.500.000 </w:t>
            </w:r>
          </w:p>
        </w:tc>
      </w:tr>
      <w:tr w:rsidR="00DF7DEC" w:rsidRPr="00900771" w14:paraId="2E894081" w14:textId="77777777" w:rsidTr="00601BC3">
        <w:trPr>
          <w:trHeight w:val="255"/>
        </w:trPr>
        <w:tc>
          <w:tcPr>
            <w:tcW w:w="6733" w:type="dxa"/>
            <w:tcBorders>
              <w:top w:val="nil"/>
              <w:left w:val="single" w:sz="4" w:space="0" w:color="auto"/>
              <w:bottom w:val="single" w:sz="4" w:space="0" w:color="auto"/>
              <w:right w:val="single" w:sz="4" w:space="0" w:color="auto"/>
            </w:tcBorders>
            <w:shd w:val="clear" w:color="auto" w:fill="auto"/>
            <w:noWrap/>
            <w:vAlign w:val="bottom"/>
            <w:hideMark/>
          </w:tcPr>
          <w:p w14:paraId="61CD464F" w14:textId="77777777" w:rsidR="00DF7DEC" w:rsidRPr="00900771" w:rsidRDefault="00DF7DEC" w:rsidP="00601BC3">
            <w:pPr>
              <w:widowControl/>
              <w:autoSpaceDE/>
              <w:autoSpaceDN/>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Årsresultat</w:t>
            </w:r>
          </w:p>
        </w:tc>
        <w:tc>
          <w:tcPr>
            <w:tcW w:w="999" w:type="dxa"/>
            <w:tcBorders>
              <w:top w:val="nil"/>
              <w:left w:val="nil"/>
              <w:bottom w:val="single" w:sz="4" w:space="0" w:color="auto"/>
              <w:right w:val="single" w:sz="4" w:space="0" w:color="auto"/>
            </w:tcBorders>
            <w:shd w:val="clear" w:color="auto" w:fill="auto"/>
            <w:noWrap/>
            <w:vAlign w:val="bottom"/>
            <w:hideMark/>
          </w:tcPr>
          <w:p w14:paraId="1B0F219D" w14:textId="77777777" w:rsidR="00DF7DEC" w:rsidRPr="00900771" w:rsidRDefault="00DF7DEC" w:rsidP="00601BC3">
            <w:pPr>
              <w:widowControl/>
              <w:autoSpaceDE/>
              <w:autoSpaceDN/>
              <w:jc w:val="right"/>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 xml:space="preserve">-2.500.000 </w:t>
            </w:r>
          </w:p>
        </w:tc>
      </w:tr>
      <w:tr w:rsidR="00DF7DEC" w:rsidRPr="00900771" w14:paraId="62F8417D" w14:textId="77777777" w:rsidTr="00601BC3">
        <w:trPr>
          <w:trHeight w:val="255"/>
        </w:trPr>
        <w:tc>
          <w:tcPr>
            <w:tcW w:w="6733" w:type="dxa"/>
            <w:tcBorders>
              <w:top w:val="nil"/>
              <w:left w:val="nil"/>
              <w:bottom w:val="single" w:sz="4" w:space="0" w:color="auto"/>
              <w:right w:val="nil"/>
            </w:tcBorders>
            <w:shd w:val="clear" w:color="auto" w:fill="auto"/>
            <w:noWrap/>
            <w:vAlign w:val="bottom"/>
            <w:hideMark/>
          </w:tcPr>
          <w:p w14:paraId="627C5EBE"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999" w:type="dxa"/>
            <w:tcBorders>
              <w:top w:val="nil"/>
              <w:left w:val="nil"/>
              <w:bottom w:val="single" w:sz="4" w:space="0" w:color="auto"/>
              <w:right w:val="nil"/>
            </w:tcBorders>
            <w:shd w:val="clear" w:color="auto" w:fill="auto"/>
            <w:noWrap/>
            <w:vAlign w:val="bottom"/>
            <w:hideMark/>
          </w:tcPr>
          <w:p w14:paraId="584B7C9C"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r>
      <w:tr w:rsidR="00DF7DEC" w:rsidRPr="00900771" w14:paraId="211CF693" w14:textId="77777777" w:rsidTr="00601BC3">
        <w:trPr>
          <w:trHeight w:val="255"/>
        </w:trPr>
        <w:tc>
          <w:tcPr>
            <w:tcW w:w="6733" w:type="dxa"/>
            <w:tcBorders>
              <w:top w:val="nil"/>
              <w:left w:val="single" w:sz="4" w:space="0" w:color="auto"/>
              <w:bottom w:val="nil"/>
              <w:right w:val="single" w:sz="4" w:space="0" w:color="auto"/>
            </w:tcBorders>
            <w:shd w:val="clear" w:color="auto" w:fill="auto"/>
            <w:noWrap/>
            <w:vAlign w:val="bottom"/>
            <w:hideMark/>
          </w:tcPr>
          <w:p w14:paraId="68F549ED"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De</w:t>
            </w:r>
            <w:r>
              <w:rPr>
                <w:rFonts w:eastAsia="Times New Roman"/>
                <w:color w:val="000000" w:themeColor="text1"/>
                <w:sz w:val="20"/>
                <w:szCs w:val="20"/>
                <w:lang w:eastAsia="da-DK"/>
              </w:rPr>
              <w:t>t</w:t>
            </w:r>
            <w:r w:rsidRPr="00900771">
              <w:rPr>
                <w:rFonts w:eastAsia="Times New Roman"/>
                <w:color w:val="000000" w:themeColor="text1"/>
                <w:sz w:val="20"/>
                <w:szCs w:val="20"/>
                <w:lang w:eastAsia="da-DK"/>
              </w:rPr>
              <w:t xml:space="preserve"> </w:t>
            </w:r>
            <w:r>
              <w:rPr>
                <w:rFonts w:eastAsia="Times New Roman"/>
                <w:color w:val="000000" w:themeColor="text1"/>
                <w:sz w:val="20"/>
                <w:szCs w:val="20"/>
                <w:lang w:eastAsia="da-DK"/>
              </w:rPr>
              <w:t xml:space="preserve">selvstændige tilbud </w:t>
            </w:r>
            <w:r w:rsidRPr="00900771">
              <w:rPr>
                <w:rFonts w:eastAsia="Times New Roman"/>
                <w:color w:val="000000" w:themeColor="text1"/>
                <w:sz w:val="20"/>
                <w:szCs w:val="20"/>
                <w:lang w:eastAsia="da-DK"/>
              </w:rPr>
              <w:t>overførte overskud/underskud fra tidligere år</w:t>
            </w:r>
          </w:p>
        </w:tc>
        <w:tc>
          <w:tcPr>
            <w:tcW w:w="999" w:type="dxa"/>
            <w:tcBorders>
              <w:top w:val="nil"/>
              <w:left w:val="nil"/>
              <w:bottom w:val="single" w:sz="4" w:space="0" w:color="auto"/>
              <w:right w:val="single" w:sz="4" w:space="0" w:color="auto"/>
            </w:tcBorders>
            <w:shd w:val="clear" w:color="auto" w:fill="auto"/>
            <w:noWrap/>
            <w:vAlign w:val="bottom"/>
            <w:hideMark/>
          </w:tcPr>
          <w:p w14:paraId="2521EA0F"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1.000.000 </w:t>
            </w:r>
          </w:p>
        </w:tc>
      </w:tr>
      <w:tr w:rsidR="00DF7DEC" w:rsidRPr="00900771" w14:paraId="5EFD10C3" w14:textId="77777777" w:rsidTr="00601BC3">
        <w:trPr>
          <w:trHeight w:val="255"/>
        </w:trPr>
        <w:tc>
          <w:tcPr>
            <w:tcW w:w="67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C36EC" w14:textId="77777777" w:rsidR="00DF7DEC" w:rsidRPr="00900771" w:rsidRDefault="00DF7DEC" w:rsidP="00601BC3">
            <w:pPr>
              <w:widowControl/>
              <w:autoSpaceDE/>
              <w:autoSpaceDN/>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 xml:space="preserve">Akkumuleret resultat - fordeles forholdsmæssigt på de øvrige </w:t>
            </w:r>
            <w:r>
              <w:rPr>
                <w:rFonts w:eastAsia="Times New Roman"/>
                <w:b/>
                <w:bCs/>
                <w:color w:val="000000" w:themeColor="text1"/>
                <w:sz w:val="20"/>
                <w:szCs w:val="20"/>
                <w:lang w:eastAsia="da-DK"/>
              </w:rPr>
              <w:t>tilbud</w:t>
            </w:r>
            <w:r w:rsidRPr="00900771">
              <w:rPr>
                <w:rFonts w:eastAsia="Times New Roman"/>
                <w:b/>
                <w:bCs/>
                <w:color w:val="000000" w:themeColor="text1"/>
                <w:sz w:val="20"/>
                <w:szCs w:val="20"/>
                <w:lang w:eastAsia="da-DK"/>
              </w:rPr>
              <w:t>*</w:t>
            </w:r>
          </w:p>
        </w:tc>
        <w:tc>
          <w:tcPr>
            <w:tcW w:w="999" w:type="dxa"/>
            <w:tcBorders>
              <w:top w:val="nil"/>
              <w:left w:val="nil"/>
              <w:bottom w:val="single" w:sz="4" w:space="0" w:color="auto"/>
              <w:right w:val="single" w:sz="4" w:space="0" w:color="auto"/>
            </w:tcBorders>
            <w:shd w:val="clear" w:color="auto" w:fill="auto"/>
            <w:noWrap/>
            <w:vAlign w:val="bottom"/>
            <w:hideMark/>
          </w:tcPr>
          <w:p w14:paraId="0E43ED8E" w14:textId="77777777" w:rsidR="00DF7DEC" w:rsidRPr="00900771" w:rsidRDefault="00DF7DEC" w:rsidP="00601BC3">
            <w:pPr>
              <w:widowControl/>
              <w:autoSpaceDE/>
              <w:autoSpaceDN/>
              <w:jc w:val="right"/>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 xml:space="preserve">-1.500.000 </w:t>
            </w:r>
          </w:p>
        </w:tc>
      </w:tr>
      <w:tr w:rsidR="00DF7DEC" w:rsidRPr="00900771" w14:paraId="20DD56FE" w14:textId="77777777" w:rsidTr="00601BC3">
        <w:trPr>
          <w:trHeight w:val="255"/>
        </w:trPr>
        <w:tc>
          <w:tcPr>
            <w:tcW w:w="6733" w:type="dxa"/>
            <w:tcBorders>
              <w:top w:val="nil"/>
              <w:left w:val="single" w:sz="4" w:space="0" w:color="auto"/>
              <w:bottom w:val="single" w:sz="4" w:space="0" w:color="auto"/>
              <w:right w:val="single" w:sz="4" w:space="0" w:color="auto"/>
            </w:tcBorders>
            <w:shd w:val="clear" w:color="auto" w:fill="auto"/>
            <w:noWrap/>
            <w:vAlign w:val="bottom"/>
            <w:hideMark/>
          </w:tcPr>
          <w:p w14:paraId="2D79012D" w14:textId="77777777" w:rsidR="00DF7DEC" w:rsidRPr="00900771" w:rsidRDefault="00DF7DEC" w:rsidP="00601BC3">
            <w:pPr>
              <w:widowControl/>
              <w:autoSpaceDE/>
              <w:autoSpaceDN/>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 </w:t>
            </w:r>
          </w:p>
        </w:tc>
        <w:tc>
          <w:tcPr>
            <w:tcW w:w="999" w:type="dxa"/>
            <w:tcBorders>
              <w:top w:val="nil"/>
              <w:left w:val="nil"/>
              <w:bottom w:val="single" w:sz="4" w:space="0" w:color="auto"/>
              <w:right w:val="single" w:sz="4" w:space="0" w:color="auto"/>
            </w:tcBorders>
            <w:shd w:val="clear" w:color="auto" w:fill="auto"/>
            <w:noWrap/>
            <w:vAlign w:val="bottom"/>
            <w:hideMark/>
          </w:tcPr>
          <w:p w14:paraId="162EEA40" w14:textId="77777777" w:rsidR="00DF7DEC" w:rsidRPr="00900771" w:rsidRDefault="00DF7DEC" w:rsidP="00601BC3">
            <w:pPr>
              <w:widowControl/>
              <w:autoSpaceDE/>
              <w:autoSpaceDN/>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 </w:t>
            </w:r>
          </w:p>
        </w:tc>
      </w:tr>
    </w:tbl>
    <w:p w14:paraId="665F1B86" w14:textId="77777777" w:rsidR="00DF7DEC" w:rsidRPr="00900771" w:rsidRDefault="00DF7DEC" w:rsidP="00DF7DEC">
      <w:pPr>
        <w:pStyle w:val="Brdtekst"/>
        <w:rPr>
          <w:color w:val="000000" w:themeColor="text1"/>
          <w:sz w:val="20"/>
          <w:szCs w:val="20"/>
        </w:rPr>
      </w:pPr>
      <w:r w:rsidRPr="00900771">
        <w:rPr>
          <w:color w:val="000000" w:themeColor="text1"/>
          <w:sz w:val="20"/>
          <w:szCs w:val="20"/>
        </w:rPr>
        <w:t>* Hvis der efter en fordeling af underskuddet ved lukning opstår et underskud over 5</w:t>
      </w:r>
      <w:r>
        <w:rPr>
          <w:color w:val="000000" w:themeColor="text1"/>
          <w:sz w:val="20"/>
          <w:szCs w:val="20"/>
        </w:rPr>
        <w:t xml:space="preserve"> </w:t>
      </w:r>
      <w:r w:rsidRPr="00900771">
        <w:rPr>
          <w:color w:val="000000" w:themeColor="text1"/>
          <w:sz w:val="20"/>
          <w:szCs w:val="20"/>
        </w:rPr>
        <w:t xml:space="preserve">% på </w:t>
      </w:r>
      <w:r>
        <w:rPr>
          <w:color w:val="000000" w:themeColor="text1"/>
          <w:sz w:val="20"/>
          <w:szCs w:val="20"/>
        </w:rPr>
        <w:t>et andet tilbud</w:t>
      </w:r>
      <w:r w:rsidRPr="00900771">
        <w:rPr>
          <w:color w:val="000000" w:themeColor="text1"/>
          <w:sz w:val="20"/>
          <w:szCs w:val="20"/>
        </w:rPr>
        <w:t>, vil underskuddet over 5 % for denne økonomiske enhed blive efterreguleret i taksterne år +2.</w:t>
      </w:r>
    </w:p>
    <w:p w14:paraId="69AFC7EE" w14:textId="77777777" w:rsidR="00DF7DEC" w:rsidRPr="00900771" w:rsidRDefault="00DF7DEC" w:rsidP="00DF7DEC">
      <w:pPr>
        <w:pStyle w:val="Brdtekst"/>
        <w:spacing w:before="160"/>
        <w:rPr>
          <w:color w:val="000000" w:themeColor="text1"/>
          <w:u w:val="single"/>
        </w:rPr>
      </w:pPr>
      <w:r w:rsidRPr="00900771">
        <w:rPr>
          <w:color w:val="000000" w:themeColor="text1"/>
          <w:u w:val="single"/>
        </w:rPr>
        <w:t xml:space="preserve">Lukning af et </w:t>
      </w:r>
      <w:r>
        <w:rPr>
          <w:color w:val="000000" w:themeColor="text1"/>
          <w:u w:val="single"/>
        </w:rPr>
        <w:t>regionalt</w:t>
      </w:r>
      <w:r w:rsidRPr="00900771">
        <w:rPr>
          <w:color w:val="000000" w:themeColor="text1"/>
          <w:u w:val="single"/>
        </w:rPr>
        <w:t xml:space="preserve"> tilbud</w:t>
      </w:r>
      <w:r>
        <w:rPr>
          <w:color w:val="000000" w:themeColor="text1"/>
          <w:u w:val="single"/>
        </w:rPr>
        <w:t xml:space="preserve"> som en del af en økonomisk enhed</w:t>
      </w:r>
    </w:p>
    <w:p w14:paraId="1795F704" w14:textId="77777777" w:rsidR="00DF7DEC" w:rsidRPr="00900771" w:rsidRDefault="00DF7DEC" w:rsidP="00DF7DEC">
      <w:pPr>
        <w:pStyle w:val="Brdtekst"/>
        <w:spacing w:before="160"/>
        <w:rPr>
          <w:color w:val="000000" w:themeColor="text1"/>
        </w:rPr>
      </w:pPr>
      <w:r w:rsidRPr="00900771">
        <w:rPr>
          <w:color w:val="000000" w:themeColor="text1"/>
        </w:rPr>
        <w:t>Hvis der ved lukning af regionalt tilbud er et underskud, finansieres det på følgende måde:</w:t>
      </w:r>
    </w:p>
    <w:p w14:paraId="6F320A19" w14:textId="77777777" w:rsidR="00DF7DEC" w:rsidRPr="00900771" w:rsidRDefault="00DF7DEC" w:rsidP="00DF7DEC">
      <w:pPr>
        <w:pStyle w:val="Brdtekst"/>
        <w:spacing w:before="1"/>
        <w:rPr>
          <w:i/>
          <w:iCs/>
          <w:color w:val="000000" w:themeColor="text1"/>
        </w:rPr>
      </w:pPr>
    </w:p>
    <w:p w14:paraId="6DBA6361" w14:textId="77777777" w:rsidR="00DF7DEC" w:rsidRPr="00900771" w:rsidRDefault="00DF7DEC" w:rsidP="00DF7DEC">
      <w:pPr>
        <w:pStyle w:val="Brdtekst"/>
        <w:spacing w:before="1"/>
        <w:rPr>
          <w:i/>
          <w:iCs/>
          <w:color w:val="000000" w:themeColor="text1"/>
        </w:rPr>
      </w:pPr>
      <w:r w:rsidRPr="00900771">
        <w:rPr>
          <w:i/>
          <w:iCs/>
          <w:color w:val="000000" w:themeColor="text1"/>
        </w:rPr>
        <w:t>- Underskud op til 5 % af de</w:t>
      </w:r>
      <w:r>
        <w:rPr>
          <w:i/>
          <w:iCs/>
          <w:color w:val="000000" w:themeColor="text1"/>
        </w:rPr>
        <w:t>t</w:t>
      </w:r>
      <w:r w:rsidRPr="00900771">
        <w:rPr>
          <w:i/>
          <w:iCs/>
          <w:color w:val="000000" w:themeColor="text1"/>
        </w:rPr>
        <w:t xml:space="preserve"> selvstændige </w:t>
      </w:r>
      <w:r>
        <w:rPr>
          <w:i/>
          <w:iCs/>
          <w:color w:val="000000" w:themeColor="text1"/>
        </w:rPr>
        <w:t>tilbuds</w:t>
      </w:r>
      <w:r w:rsidRPr="00900771">
        <w:rPr>
          <w:rStyle w:val="Fodnotehenvisning"/>
          <w:i/>
          <w:iCs/>
          <w:color w:val="000000" w:themeColor="text1"/>
        </w:rPr>
        <w:footnoteReference w:id="8"/>
      </w:r>
      <w:r w:rsidRPr="00900771">
        <w:rPr>
          <w:i/>
          <w:iCs/>
          <w:color w:val="000000" w:themeColor="text1"/>
        </w:rPr>
        <w:t xml:space="preserve"> samlede </w:t>
      </w:r>
      <w:r>
        <w:rPr>
          <w:i/>
          <w:iCs/>
          <w:color w:val="000000" w:themeColor="text1"/>
        </w:rPr>
        <w:t xml:space="preserve">takst baserede </w:t>
      </w:r>
      <w:r w:rsidRPr="00900771">
        <w:rPr>
          <w:i/>
          <w:iCs/>
          <w:color w:val="000000" w:themeColor="text1"/>
        </w:rPr>
        <w:t>om</w:t>
      </w:r>
      <w:r>
        <w:rPr>
          <w:i/>
          <w:iCs/>
          <w:color w:val="000000" w:themeColor="text1"/>
        </w:rPr>
        <w:t>sætning</w:t>
      </w:r>
      <w:r w:rsidRPr="00900771">
        <w:rPr>
          <w:i/>
          <w:iCs/>
          <w:color w:val="000000" w:themeColor="text1"/>
        </w:rPr>
        <w:t xml:space="preserve"> i året, hvor beslutning om lukning træffes (helårsbudget):</w:t>
      </w:r>
    </w:p>
    <w:p w14:paraId="22837BA6" w14:textId="77777777" w:rsidR="00DF7DEC" w:rsidRPr="00900771" w:rsidRDefault="00DF7DEC" w:rsidP="00DF7DEC">
      <w:pPr>
        <w:pStyle w:val="Brdtekst"/>
        <w:spacing w:before="121"/>
        <w:rPr>
          <w:color w:val="000000" w:themeColor="text1"/>
        </w:rPr>
      </w:pPr>
      <w:r w:rsidRPr="00900771">
        <w:rPr>
          <w:color w:val="000000" w:themeColor="text1"/>
        </w:rPr>
        <w:t>Denne del af underskuddet dækkes ved effektivisering eller af tidligere overskud inden for samme ledelsesområde/ center.</w:t>
      </w:r>
      <w:r w:rsidRPr="00900771">
        <w:rPr>
          <w:rStyle w:val="Fodnotehenvisning"/>
          <w:color w:val="000000" w:themeColor="text1"/>
        </w:rPr>
        <w:footnoteReference w:id="9"/>
      </w:r>
    </w:p>
    <w:p w14:paraId="292B4913" w14:textId="77777777" w:rsidR="00DF7DEC" w:rsidRDefault="00DF7DEC" w:rsidP="00DF7DEC">
      <w:pPr>
        <w:pStyle w:val="Brdtekst"/>
        <w:rPr>
          <w:i/>
          <w:iCs/>
          <w:color w:val="000000" w:themeColor="text1"/>
        </w:rPr>
      </w:pPr>
    </w:p>
    <w:p w14:paraId="7C9F3976" w14:textId="77777777" w:rsidR="00DF7DEC" w:rsidRPr="00900771" w:rsidRDefault="00DF7DEC" w:rsidP="00DF7DEC">
      <w:pPr>
        <w:pStyle w:val="Brdtekst"/>
        <w:rPr>
          <w:i/>
          <w:iCs/>
          <w:color w:val="000000" w:themeColor="text1"/>
        </w:rPr>
      </w:pPr>
      <w:r w:rsidRPr="00900771">
        <w:rPr>
          <w:i/>
          <w:iCs/>
          <w:color w:val="000000" w:themeColor="text1"/>
        </w:rPr>
        <w:lastRenderedPageBreak/>
        <w:t>- Underskud over 5 % af de</w:t>
      </w:r>
      <w:r>
        <w:rPr>
          <w:i/>
          <w:iCs/>
          <w:color w:val="000000" w:themeColor="text1"/>
        </w:rPr>
        <w:t>t</w:t>
      </w:r>
      <w:r w:rsidRPr="00900771">
        <w:rPr>
          <w:i/>
          <w:iCs/>
          <w:color w:val="000000" w:themeColor="text1"/>
        </w:rPr>
        <w:t xml:space="preserve"> selvstændige </w:t>
      </w:r>
      <w:r>
        <w:rPr>
          <w:i/>
          <w:iCs/>
          <w:color w:val="000000" w:themeColor="text1"/>
        </w:rPr>
        <w:t>tilbuds</w:t>
      </w:r>
      <w:r w:rsidRPr="00900771">
        <w:rPr>
          <w:rStyle w:val="Fodnotehenvisning"/>
          <w:i/>
          <w:iCs/>
          <w:color w:val="000000" w:themeColor="text1"/>
        </w:rPr>
        <w:footnoteReference w:id="10"/>
      </w:r>
      <w:r w:rsidRPr="00900771">
        <w:rPr>
          <w:i/>
          <w:iCs/>
          <w:color w:val="000000" w:themeColor="text1"/>
        </w:rPr>
        <w:t xml:space="preserve"> samlede </w:t>
      </w:r>
      <w:proofErr w:type="spellStart"/>
      <w:r>
        <w:rPr>
          <w:i/>
          <w:iCs/>
          <w:color w:val="000000" w:themeColor="text1"/>
        </w:rPr>
        <w:t>takstbaserede</w:t>
      </w:r>
      <w:proofErr w:type="spellEnd"/>
      <w:r>
        <w:rPr>
          <w:i/>
          <w:iCs/>
          <w:color w:val="000000" w:themeColor="text1"/>
        </w:rPr>
        <w:t xml:space="preserve"> </w:t>
      </w:r>
      <w:r w:rsidRPr="00900771">
        <w:rPr>
          <w:i/>
          <w:iCs/>
          <w:color w:val="000000" w:themeColor="text1"/>
        </w:rPr>
        <w:t>om</w:t>
      </w:r>
      <w:r>
        <w:rPr>
          <w:i/>
          <w:iCs/>
          <w:color w:val="000000" w:themeColor="text1"/>
        </w:rPr>
        <w:t>sætningen</w:t>
      </w:r>
      <w:r w:rsidRPr="00900771">
        <w:rPr>
          <w:i/>
          <w:iCs/>
          <w:color w:val="000000" w:themeColor="text1"/>
        </w:rPr>
        <w:t xml:space="preserve"> i året, hvor beslutning om lukning træffes (helårsbudget):</w:t>
      </w:r>
    </w:p>
    <w:p w14:paraId="036C62BA" w14:textId="77777777" w:rsidR="00DF7DEC" w:rsidRPr="00900771" w:rsidRDefault="00DF7DEC" w:rsidP="00DF7DEC">
      <w:pPr>
        <w:pStyle w:val="Brdtekst"/>
        <w:rPr>
          <w:color w:val="000000" w:themeColor="text1"/>
        </w:rPr>
      </w:pPr>
    </w:p>
    <w:p w14:paraId="70141A9C" w14:textId="77777777" w:rsidR="00DF7DEC" w:rsidRPr="00CC2A1A" w:rsidRDefault="00DF7DEC" w:rsidP="00DF7DEC">
      <w:pPr>
        <w:pStyle w:val="Brdtekst"/>
        <w:rPr>
          <w:color w:val="000000" w:themeColor="text1"/>
        </w:rPr>
      </w:pPr>
      <w:r w:rsidRPr="00900771">
        <w:rPr>
          <w:color w:val="000000" w:themeColor="text1"/>
        </w:rPr>
        <w:t xml:space="preserve">Er det beregnede underskud over 5 % finansieres den del, der ligger over 5 % ved, at Region Syddanmark gennemfører besparelser på andre sociale tilbud. Underskuddet over 5 % </w:t>
      </w:r>
      <w:r>
        <w:rPr>
          <w:color w:val="000000" w:themeColor="text1"/>
        </w:rPr>
        <w:t xml:space="preserve">dækkes af regionens andre tilbud </w:t>
      </w:r>
      <w:r w:rsidRPr="00900771">
        <w:rPr>
          <w:color w:val="000000" w:themeColor="text1"/>
        </w:rPr>
        <w:t xml:space="preserve">i forhold til de respektive tilbuds </w:t>
      </w:r>
      <w:proofErr w:type="spellStart"/>
      <w:r>
        <w:rPr>
          <w:color w:val="000000" w:themeColor="text1"/>
        </w:rPr>
        <w:t>takstbaserede</w:t>
      </w:r>
      <w:proofErr w:type="spellEnd"/>
      <w:r>
        <w:rPr>
          <w:color w:val="000000" w:themeColor="text1"/>
        </w:rPr>
        <w:t xml:space="preserve"> </w:t>
      </w:r>
      <w:r w:rsidRPr="00900771">
        <w:rPr>
          <w:color w:val="000000" w:themeColor="text1"/>
        </w:rPr>
        <w:t>om</w:t>
      </w:r>
      <w:r>
        <w:rPr>
          <w:color w:val="000000" w:themeColor="text1"/>
        </w:rPr>
        <w:t>sætning</w:t>
      </w:r>
      <w:r w:rsidRPr="00900771">
        <w:rPr>
          <w:color w:val="000000" w:themeColor="text1"/>
        </w:rPr>
        <w:t>.</w:t>
      </w:r>
      <w:r w:rsidRPr="00900771">
        <w:rPr>
          <w:rStyle w:val="Fodnotehenvisning"/>
          <w:color w:val="000000" w:themeColor="text1"/>
        </w:rPr>
        <w:footnoteReference w:id="11"/>
      </w:r>
      <w:r w:rsidRPr="00900771">
        <w:rPr>
          <w:color w:val="000000" w:themeColor="text1"/>
        </w:rPr>
        <w:t xml:space="preserve"> Eventuelle overførte overskud eller underskud skal indgå i beregningen, idet det tillægges årsresultatet. </w:t>
      </w:r>
      <w:r>
        <w:rPr>
          <w:color w:val="000000" w:themeColor="text1"/>
        </w:rPr>
        <w:t xml:space="preserve">Hensatte overskud bringes i anvendelse ift. finansiering af merudgifter ved lukning af tilbud. </w:t>
      </w:r>
      <w:r w:rsidRPr="00900771">
        <w:rPr>
          <w:color w:val="000000" w:themeColor="text1"/>
        </w:rPr>
        <w:t xml:space="preserve">Se beregningseksempel </w:t>
      </w:r>
      <w:r>
        <w:rPr>
          <w:color w:val="000000" w:themeColor="text1"/>
        </w:rPr>
        <w:t>4.</w:t>
      </w:r>
    </w:p>
    <w:p w14:paraId="4E4DD6D8" w14:textId="77777777" w:rsidR="00DF7DEC" w:rsidRDefault="00DF7DEC" w:rsidP="00DF7DEC">
      <w:pPr>
        <w:pStyle w:val="Brdtekst"/>
        <w:spacing w:before="96"/>
        <w:rPr>
          <w:b/>
          <w:i/>
          <w:iCs/>
          <w:color w:val="000000" w:themeColor="text1"/>
        </w:rPr>
      </w:pPr>
    </w:p>
    <w:p w14:paraId="1B380632" w14:textId="77777777" w:rsidR="00DF7DEC" w:rsidRPr="007F26BE" w:rsidRDefault="00DF7DEC" w:rsidP="00DF7DEC">
      <w:pPr>
        <w:pStyle w:val="Brdtekst"/>
        <w:spacing w:before="96"/>
        <w:rPr>
          <w:b/>
          <w:i/>
          <w:iCs/>
          <w:color w:val="000000" w:themeColor="text1"/>
        </w:rPr>
      </w:pPr>
      <w:r w:rsidRPr="007F26BE">
        <w:rPr>
          <w:b/>
          <w:i/>
          <w:iCs/>
          <w:color w:val="000000" w:themeColor="text1"/>
        </w:rPr>
        <w:t>Beregningseksempel 4: Lukning af regionalt tilbud inden for en økonomisk enhed.</w:t>
      </w:r>
    </w:p>
    <w:p w14:paraId="4F526AF4" w14:textId="77777777" w:rsidR="00DF7DEC" w:rsidRPr="00900771" w:rsidRDefault="00DF7DEC" w:rsidP="00DF7DEC">
      <w:pPr>
        <w:rPr>
          <w:b/>
          <w:color w:val="000000" w:themeColor="text1"/>
          <w:sz w:val="20"/>
        </w:rPr>
      </w:pPr>
    </w:p>
    <w:tbl>
      <w:tblPr>
        <w:tblW w:w="9633" w:type="dxa"/>
        <w:tblCellMar>
          <w:left w:w="70" w:type="dxa"/>
          <w:right w:w="70" w:type="dxa"/>
        </w:tblCellMar>
        <w:tblLook w:val="04A0" w:firstRow="1" w:lastRow="0" w:firstColumn="1" w:lastColumn="0" w:noHBand="0" w:noVBand="1"/>
      </w:tblPr>
      <w:tblGrid>
        <w:gridCol w:w="6166"/>
        <w:gridCol w:w="1166"/>
        <w:gridCol w:w="1160"/>
        <w:gridCol w:w="1141"/>
      </w:tblGrid>
      <w:tr w:rsidR="00DF7DEC" w:rsidRPr="00900771" w14:paraId="33B0886C" w14:textId="77777777" w:rsidTr="00601BC3">
        <w:trPr>
          <w:trHeight w:val="255"/>
        </w:trPr>
        <w:tc>
          <w:tcPr>
            <w:tcW w:w="6166" w:type="dxa"/>
            <w:tcBorders>
              <w:top w:val="nil"/>
              <w:left w:val="nil"/>
              <w:bottom w:val="nil"/>
              <w:right w:val="nil"/>
            </w:tcBorders>
            <w:shd w:val="clear" w:color="auto" w:fill="auto"/>
            <w:noWrap/>
            <w:vAlign w:val="bottom"/>
            <w:hideMark/>
          </w:tcPr>
          <w:p w14:paraId="27DDF4B9" w14:textId="77777777" w:rsidR="00DF7DEC" w:rsidRPr="00900771" w:rsidRDefault="00DF7DEC" w:rsidP="00601BC3">
            <w:pPr>
              <w:widowControl/>
              <w:autoSpaceDE/>
              <w:autoSpaceDN/>
              <w:rPr>
                <w:rFonts w:ascii="Times New Roman" w:eastAsia="Times New Roman" w:hAnsi="Times New Roman" w:cs="Times New Roman"/>
                <w:color w:val="000000" w:themeColor="text1"/>
                <w:sz w:val="24"/>
                <w:szCs w:val="24"/>
                <w:lang w:eastAsia="da-DK"/>
              </w:rPr>
            </w:pPr>
          </w:p>
        </w:tc>
        <w:tc>
          <w:tcPr>
            <w:tcW w:w="34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22E22" w14:textId="77777777" w:rsidR="00DF7DEC" w:rsidRPr="00900771" w:rsidRDefault="00DF7DEC" w:rsidP="00601BC3">
            <w:pPr>
              <w:widowControl/>
              <w:autoSpaceDE/>
              <w:autoSpaceDN/>
              <w:jc w:val="center"/>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Samlet økonomisk enhed</w:t>
            </w:r>
          </w:p>
        </w:tc>
      </w:tr>
      <w:tr w:rsidR="00DF7DEC" w:rsidRPr="00900771" w14:paraId="3ADEB108" w14:textId="77777777" w:rsidTr="00601BC3">
        <w:trPr>
          <w:trHeight w:val="255"/>
        </w:trPr>
        <w:tc>
          <w:tcPr>
            <w:tcW w:w="6166" w:type="dxa"/>
            <w:tcBorders>
              <w:top w:val="nil"/>
              <w:left w:val="nil"/>
              <w:bottom w:val="nil"/>
              <w:right w:val="nil"/>
            </w:tcBorders>
            <w:shd w:val="clear" w:color="auto" w:fill="auto"/>
            <w:noWrap/>
            <w:vAlign w:val="bottom"/>
            <w:hideMark/>
          </w:tcPr>
          <w:p w14:paraId="166E684F" w14:textId="77777777" w:rsidR="00DF7DEC" w:rsidRPr="00900771" w:rsidRDefault="00DF7DEC" w:rsidP="00601BC3">
            <w:pPr>
              <w:widowControl/>
              <w:autoSpaceDE/>
              <w:autoSpaceDN/>
              <w:jc w:val="center"/>
              <w:rPr>
                <w:rFonts w:eastAsia="Times New Roman"/>
                <w:b/>
                <w:bCs/>
                <w:color w:val="000000" w:themeColor="text1"/>
                <w:sz w:val="20"/>
                <w:szCs w:val="20"/>
                <w:lang w:eastAsia="da-DK"/>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466B5" w14:textId="77777777" w:rsidR="00DF7DEC" w:rsidRPr="00900771" w:rsidRDefault="00DF7DEC" w:rsidP="00601BC3">
            <w:pPr>
              <w:widowControl/>
              <w:autoSpaceDE/>
              <w:autoSpaceDN/>
              <w:jc w:val="center"/>
              <w:rPr>
                <w:rFonts w:eastAsia="Times New Roman"/>
                <w:color w:val="000000" w:themeColor="text1"/>
                <w:sz w:val="20"/>
                <w:szCs w:val="20"/>
                <w:lang w:eastAsia="da-DK"/>
              </w:rPr>
            </w:pPr>
            <w:r w:rsidRPr="00900771">
              <w:rPr>
                <w:rFonts w:eastAsia="Times New Roman"/>
                <w:color w:val="000000" w:themeColor="text1"/>
                <w:sz w:val="20"/>
                <w:szCs w:val="20"/>
                <w:lang w:eastAsia="da-DK"/>
              </w:rPr>
              <w:t>Afdeling/</w:t>
            </w:r>
          </w:p>
          <w:p w14:paraId="5204F695" w14:textId="77777777" w:rsidR="00DF7DEC" w:rsidRPr="00900771" w:rsidRDefault="00DF7DEC" w:rsidP="00601BC3">
            <w:pPr>
              <w:widowControl/>
              <w:autoSpaceDE/>
              <w:autoSpaceDN/>
              <w:jc w:val="center"/>
              <w:rPr>
                <w:rFonts w:eastAsia="Times New Roman"/>
                <w:color w:val="000000" w:themeColor="text1"/>
                <w:sz w:val="20"/>
                <w:szCs w:val="20"/>
                <w:lang w:eastAsia="da-DK"/>
              </w:rPr>
            </w:pPr>
            <w:r w:rsidRPr="00900771">
              <w:rPr>
                <w:rFonts w:eastAsia="Times New Roman"/>
                <w:color w:val="000000" w:themeColor="text1"/>
                <w:sz w:val="20"/>
                <w:szCs w:val="20"/>
                <w:lang w:eastAsia="da-DK"/>
              </w:rPr>
              <w:t>tilbud 1</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A140" w14:textId="77777777" w:rsidR="00DF7DEC" w:rsidRPr="00900771" w:rsidRDefault="00DF7DEC" w:rsidP="00601BC3">
            <w:pPr>
              <w:widowControl/>
              <w:autoSpaceDE/>
              <w:autoSpaceDN/>
              <w:jc w:val="center"/>
              <w:rPr>
                <w:rFonts w:eastAsia="Times New Roman"/>
                <w:color w:val="000000" w:themeColor="text1"/>
                <w:sz w:val="20"/>
                <w:szCs w:val="20"/>
                <w:lang w:eastAsia="da-DK"/>
              </w:rPr>
            </w:pPr>
            <w:r w:rsidRPr="00900771">
              <w:rPr>
                <w:rFonts w:eastAsia="Times New Roman"/>
                <w:color w:val="000000" w:themeColor="text1"/>
                <w:sz w:val="20"/>
                <w:szCs w:val="20"/>
                <w:lang w:eastAsia="da-DK"/>
              </w:rPr>
              <w:t>Afdeling/</w:t>
            </w:r>
          </w:p>
          <w:p w14:paraId="4C5AD609" w14:textId="77777777" w:rsidR="00DF7DEC" w:rsidRPr="00900771" w:rsidRDefault="00DF7DEC" w:rsidP="00601BC3">
            <w:pPr>
              <w:widowControl/>
              <w:autoSpaceDE/>
              <w:autoSpaceDN/>
              <w:jc w:val="center"/>
              <w:rPr>
                <w:rFonts w:eastAsia="Times New Roman"/>
                <w:color w:val="000000" w:themeColor="text1"/>
                <w:sz w:val="20"/>
                <w:szCs w:val="20"/>
                <w:lang w:eastAsia="da-DK"/>
              </w:rPr>
            </w:pPr>
            <w:r w:rsidRPr="00900771">
              <w:rPr>
                <w:rFonts w:eastAsia="Times New Roman"/>
                <w:color w:val="000000" w:themeColor="text1"/>
                <w:sz w:val="20"/>
                <w:szCs w:val="20"/>
                <w:lang w:eastAsia="da-DK"/>
              </w:rPr>
              <w:t>tilbud 2-3</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2038A" w14:textId="77777777" w:rsidR="00DF7DEC" w:rsidRPr="00900771" w:rsidRDefault="00DF7DEC" w:rsidP="00601BC3">
            <w:pPr>
              <w:widowControl/>
              <w:autoSpaceDE/>
              <w:autoSpaceDN/>
              <w:jc w:val="center"/>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I alt </w:t>
            </w:r>
          </w:p>
        </w:tc>
      </w:tr>
      <w:tr w:rsidR="00DF7DEC" w:rsidRPr="00900771" w14:paraId="48B6F9FA" w14:textId="77777777" w:rsidTr="00601BC3">
        <w:trPr>
          <w:trHeight w:val="255"/>
        </w:trPr>
        <w:tc>
          <w:tcPr>
            <w:tcW w:w="6166" w:type="dxa"/>
            <w:tcBorders>
              <w:top w:val="nil"/>
              <w:left w:val="nil"/>
              <w:bottom w:val="nil"/>
              <w:right w:val="nil"/>
            </w:tcBorders>
            <w:shd w:val="clear" w:color="auto" w:fill="auto"/>
            <w:noWrap/>
            <w:vAlign w:val="bottom"/>
            <w:hideMark/>
          </w:tcPr>
          <w:p w14:paraId="0C3A48F7" w14:textId="77777777" w:rsidR="00DF7DEC" w:rsidRPr="00900771" w:rsidRDefault="00DF7DEC" w:rsidP="00601BC3">
            <w:pPr>
              <w:widowControl/>
              <w:autoSpaceDE/>
              <w:autoSpaceDN/>
              <w:jc w:val="center"/>
              <w:rPr>
                <w:rFonts w:eastAsia="Times New Roman"/>
                <w:color w:val="000000" w:themeColor="text1"/>
                <w:sz w:val="20"/>
                <w:szCs w:val="20"/>
                <w:lang w:eastAsia="da-DK"/>
              </w:rPr>
            </w:pP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DE307"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B5F55" w14:textId="77777777" w:rsidR="00DF7DEC" w:rsidRPr="00900771" w:rsidRDefault="00DF7DEC" w:rsidP="00601BC3">
            <w:pPr>
              <w:widowControl/>
              <w:autoSpaceDE/>
              <w:autoSpaceDN/>
              <w:rPr>
                <w:rFonts w:eastAsia="Times New Roman"/>
                <w:color w:val="000000" w:themeColor="text1"/>
                <w:sz w:val="20"/>
                <w:szCs w:val="20"/>
                <w:lang w:eastAsia="da-DK"/>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506E9"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r>
      <w:tr w:rsidR="00DF7DEC" w:rsidRPr="00900771" w14:paraId="1D07A473" w14:textId="77777777" w:rsidTr="00601BC3">
        <w:trPr>
          <w:trHeight w:val="255"/>
        </w:trPr>
        <w:tc>
          <w:tcPr>
            <w:tcW w:w="6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0C3CA" w14:textId="77777777" w:rsidR="00DF7DEC" w:rsidRPr="00900771" w:rsidRDefault="00DF7DEC" w:rsidP="00601BC3">
            <w:pPr>
              <w:widowControl/>
              <w:autoSpaceDE/>
              <w:autoSpaceDN/>
              <w:rPr>
                <w:rFonts w:eastAsia="Times New Roman"/>
                <w:color w:val="000000" w:themeColor="text1"/>
                <w:sz w:val="20"/>
                <w:szCs w:val="20"/>
                <w:lang w:eastAsia="da-DK"/>
              </w:rPr>
            </w:pPr>
            <w:proofErr w:type="spellStart"/>
            <w:r>
              <w:rPr>
                <w:rFonts w:eastAsia="Times New Roman"/>
                <w:color w:val="000000" w:themeColor="text1"/>
                <w:sz w:val="20"/>
                <w:szCs w:val="20"/>
                <w:lang w:eastAsia="da-DK"/>
              </w:rPr>
              <w:t>Takstbaserede</w:t>
            </w:r>
            <w:proofErr w:type="spellEnd"/>
            <w:r>
              <w:rPr>
                <w:rFonts w:eastAsia="Times New Roman"/>
                <w:color w:val="000000" w:themeColor="text1"/>
                <w:sz w:val="20"/>
                <w:szCs w:val="20"/>
                <w:lang w:eastAsia="da-DK"/>
              </w:rPr>
              <w:t xml:space="preserve"> omsætning</w:t>
            </w:r>
            <w:r w:rsidRPr="00900771">
              <w:rPr>
                <w:rFonts w:eastAsia="Times New Roman"/>
                <w:color w:val="000000" w:themeColor="text1"/>
                <w:sz w:val="20"/>
                <w:szCs w:val="20"/>
                <w:lang w:eastAsia="da-DK"/>
              </w:rPr>
              <w:t xml:space="preserve"> i året for beslutningen</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14:paraId="6883D94C"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20.000.000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42C4D"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40.000.000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44AD5"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60.000.000 </w:t>
            </w:r>
          </w:p>
        </w:tc>
      </w:tr>
      <w:tr w:rsidR="00DF7DEC" w:rsidRPr="00900771" w14:paraId="4587384F" w14:textId="77777777" w:rsidTr="00601BC3">
        <w:trPr>
          <w:trHeight w:val="255"/>
        </w:trPr>
        <w:tc>
          <w:tcPr>
            <w:tcW w:w="6166" w:type="dxa"/>
            <w:tcBorders>
              <w:top w:val="nil"/>
              <w:left w:val="nil"/>
              <w:bottom w:val="single" w:sz="4" w:space="0" w:color="auto"/>
              <w:right w:val="single" w:sz="4" w:space="0" w:color="auto"/>
            </w:tcBorders>
            <w:shd w:val="clear" w:color="auto" w:fill="auto"/>
            <w:noWrap/>
            <w:vAlign w:val="bottom"/>
            <w:hideMark/>
          </w:tcPr>
          <w:p w14:paraId="493C85CD"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5E1E4"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7A831"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C3AC4"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r>
      <w:tr w:rsidR="00DF7DEC" w:rsidRPr="00900771" w14:paraId="1D9B9579" w14:textId="77777777" w:rsidTr="00601BC3">
        <w:trPr>
          <w:trHeight w:val="255"/>
        </w:trPr>
        <w:tc>
          <w:tcPr>
            <w:tcW w:w="6166" w:type="dxa"/>
            <w:tcBorders>
              <w:top w:val="single" w:sz="4" w:space="0" w:color="auto"/>
              <w:left w:val="single" w:sz="4" w:space="0" w:color="auto"/>
              <w:bottom w:val="single" w:sz="4" w:space="0" w:color="auto"/>
              <w:right w:val="nil"/>
            </w:tcBorders>
            <w:shd w:val="clear" w:color="auto" w:fill="auto"/>
            <w:noWrap/>
            <w:vAlign w:val="bottom"/>
            <w:hideMark/>
          </w:tcPr>
          <w:p w14:paraId="6F8816FF"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Indtægter</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72ED8"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10.000.000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CF834"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40.000.000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A8D4D"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50.000.000 </w:t>
            </w:r>
          </w:p>
        </w:tc>
      </w:tr>
      <w:tr w:rsidR="00DF7DEC" w:rsidRPr="00900771" w14:paraId="2A15AEA1" w14:textId="77777777" w:rsidTr="00601BC3">
        <w:trPr>
          <w:trHeight w:val="255"/>
        </w:trPr>
        <w:tc>
          <w:tcPr>
            <w:tcW w:w="6166" w:type="dxa"/>
            <w:tcBorders>
              <w:top w:val="single" w:sz="4" w:space="0" w:color="auto"/>
              <w:left w:val="single" w:sz="4" w:space="0" w:color="auto"/>
              <w:bottom w:val="single" w:sz="4" w:space="0" w:color="auto"/>
              <w:right w:val="nil"/>
            </w:tcBorders>
            <w:shd w:val="clear" w:color="auto" w:fill="auto"/>
            <w:noWrap/>
            <w:vAlign w:val="bottom"/>
            <w:hideMark/>
          </w:tcPr>
          <w:p w14:paraId="74C1F5E8"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Omkostninger</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3B2E7"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16.000.000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317DE"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40.000.000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77238"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56.000.000 </w:t>
            </w:r>
          </w:p>
        </w:tc>
      </w:tr>
      <w:tr w:rsidR="00DF7DEC" w:rsidRPr="00900771" w14:paraId="4C37A679" w14:textId="77777777" w:rsidTr="00601BC3">
        <w:trPr>
          <w:trHeight w:val="255"/>
        </w:trPr>
        <w:tc>
          <w:tcPr>
            <w:tcW w:w="6166" w:type="dxa"/>
            <w:tcBorders>
              <w:top w:val="single" w:sz="4" w:space="0" w:color="auto"/>
              <w:left w:val="single" w:sz="4" w:space="0" w:color="auto"/>
              <w:bottom w:val="single" w:sz="4" w:space="0" w:color="auto"/>
              <w:right w:val="nil"/>
            </w:tcBorders>
            <w:shd w:val="clear" w:color="auto" w:fill="auto"/>
            <w:noWrap/>
            <w:vAlign w:val="bottom"/>
            <w:hideMark/>
          </w:tcPr>
          <w:p w14:paraId="1CD919A0" w14:textId="77777777" w:rsidR="00DF7DEC" w:rsidRPr="00900771" w:rsidRDefault="00DF7DEC" w:rsidP="00601BC3">
            <w:pPr>
              <w:widowControl/>
              <w:autoSpaceDE/>
              <w:autoSpaceDN/>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Årsresultat</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8DF5F" w14:textId="77777777" w:rsidR="00DF7DEC" w:rsidRPr="00900771" w:rsidRDefault="00DF7DEC" w:rsidP="00601BC3">
            <w:pPr>
              <w:widowControl/>
              <w:autoSpaceDE/>
              <w:autoSpaceDN/>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E2DF6"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5DFCD" w14:textId="77777777" w:rsidR="00DF7DEC" w:rsidRPr="00900771" w:rsidRDefault="00DF7DEC" w:rsidP="00601BC3">
            <w:pPr>
              <w:widowControl/>
              <w:autoSpaceDE/>
              <w:autoSpaceDN/>
              <w:jc w:val="right"/>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 xml:space="preserve">-6.000.000 </w:t>
            </w:r>
          </w:p>
        </w:tc>
      </w:tr>
      <w:tr w:rsidR="00DF7DEC" w:rsidRPr="00900771" w14:paraId="47D4E74B" w14:textId="77777777" w:rsidTr="00601BC3">
        <w:trPr>
          <w:trHeight w:val="255"/>
        </w:trPr>
        <w:tc>
          <w:tcPr>
            <w:tcW w:w="6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A4933"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6E9D1"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D4CAEC"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98AF6"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r>
      <w:tr w:rsidR="00DF7DEC" w:rsidRPr="00900771" w14:paraId="75AED0B8" w14:textId="77777777" w:rsidTr="00601BC3">
        <w:trPr>
          <w:trHeight w:val="255"/>
        </w:trPr>
        <w:tc>
          <w:tcPr>
            <w:tcW w:w="6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9FFB0"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Den økonomiske enheds overførte overskud/underskud fra tidligere år</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14:paraId="7392DBCD"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731A5"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86F9F"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2.000.000 </w:t>
            </w:r>
          </w:p>
        </w:tc>
      </w:tr>
      <w:tr w:rsidR="00DF7DEC" w:rsidRPr="00900771" w14:paraId="1C7FDADF" w14:textId="77777777" w:rsidTr="00601BC3">
        <w:trPr>
          <w:trHeight w:val="255"/>
        </w:trPr>
        <w:tc>
          <w:tcPr>
            <w:tcW w:w="6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A1842" w14:textId="77777777" w:rsidR="00DF7DEC" w:rsidRDefault="00DF7DEC" w:rsidP="00601BC3">
            <w:pPr>
              <w:widowControl/>
              <w:autoSpaceDE/>
              <w:autoSpaceDN/>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 xml:space="preserve">Akkumuleret resultat for </w:t>
            </w:r>
            <w:r>
              <w:rPr>
                <w:rFonts w:eastAsia="Times New Roman"/>
                <w:b/>
                <w:bCs/>
                <w:color w:val="000000" w:themeColor="text1"/>
                <w:sz w:val="20"/>
                <w:szCs w:val="20"/>
                <w:lang w:eastAsia="da-DK"/>
              </w:rPr>
              <w:t>den økonomiske enhed</w:t>
            </w:r>
          </w:p>
          <w:p w14:paraId="22D17EA9" w14:textId="77777777" w:rsidR="00DF7DEC" w:rsidRPr="00900771" w:rsidRDefault="00DF7DEC" w:rsidP="00601BC3">
            <w:pPr>
              <w:widowControl/>
              <w:autoSpaceDE/>
              <w:autoSpaceDN/>
              <w:rPr>
                <w:rFonts w:eastAsia="Times New Roman"/>
                <w:b/>
                <w:bCs/>
                <w:color w:val="000000" w:themeColor="text1"/>
                <w:sz w:val="20"/>
                <w:szCs w:val="20"/>
                <w:lang w:eastAsia="da-DK"/>
              </w:rPr>
            </w:pP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14:paraId="59F4D556" w14:textId="77777777" w:rsidR="00DF7DEC" w:rsidRPr="00900771" w:rsidRDefault="00DF7DEC" w:rsidP="00601BC3">
            <w:pPr>
              <w:widowControl/>
              <w:autoSpaceDE/>
              <w:autoSpaceDN/>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92A12" w14:textId="77777777" w:rsidR="00DF7DEC" w:rsidRPr="00900771" w:rsidRDefault="00DF7DEC" w:rsidP="00601BC3">
            <w:pPr>
              <w:widowControl/>
              <w:autoSpaceDE/>
              <w:autoSpaceDN/>
              <w:rPr>
                <w:rFonts w:eastAsia="Times New Roman"/>
                <w:b/>
                <w:bCs/>
                <w:color w:val="000000" w:themeColor="text1"/>
                <w:sz w:val="20"/>
                <w:szCs w:val="20"/>
                <w:lang w:eastAsia="da-DK"/>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FC89D" w14:textId="77777777" w:rsidR="00DF7DEC" w:rsidRPr="00900771" w:rsidRDefault="00DF7DEC" w:rsidP="00601BC3">
            <w:pPr>
              <w:widowControl/>
              <w:autoSpaceDE/>
              <w:autoSpaceDN/>
              <w:jc w:val="right"/>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 xml:space="preserve">-4.000.000 </w:t>
            </w:r>
          </w:p>
        </w:tc>
      </w:tr>
      <w:tr w:rsidR="00DF7DEC" w:rsidRPr="00900771" w14:paraId="77AA9DB6" w14:textId="77777777" w:rsidTr="00601BC3">
        <w:trPr>
          <w:trHeight w:val="255"/>
        </w:trPr>
        <w:tc>
          <w:tcPr>
            <w:tcW w:w="6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C5A73" w14:textId="77777777" w:rsidR="00DF7DEC" w:rsidRPr="00900771" w:rsidRDefault="00DF7DEC" w:rsidP="00601BC3">
            <w:pPr>
              <w:widowControl/>
              <w:autoSpaceDE/>
              <w:autoSpaceDN/>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 af Budget</w:t>
            </w:r>
            <w:r>
              <w:rPr>
                <w:rFonts w:eastAsia="Times New Roman"/>
                <w:b/>
                <w:bCs/>
                <w:color w:val="000000" w:themeColor="text1"/>
                <w:sz w:val="20"/>
                <w:szCs w:val="20"/>
                <w:lang w:eastAsia="da-DK"/>
              </w:rPr>
              <w:t xml:space="preserve"> </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14:paraId="3F26EBE2" w14:textId="77777777" w:rsidR="00DF7DEC" w:rsidRPr="00900771" w:rsidRDefault="00DF7DEC" w:rsidP="00601BC3">
            <w:pPr>
              <w:widowControl/>
              <w:autoSpaceDE/>
              <w:autoSpaceDN/>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40B8D" w14:textId="77777777" w:rsidR="00DF7DEC" w:rsidRPr="00900771" w:rsidRDefault="00DF7DEC" w:rsidP="00601BC3">
            <w:pPr>
              <w:widowControl/>
              <w:autoSpaceDE/>
              <w:autoSpaceDN/>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C00E2" w14:textId="77777777" w:rsidR="00DF7DEC" w:rsidRPr="00900771" w:rsidRDefault="00DF7DEC" w:rsidP="00601BC3">
            <w:pPr>
              <w:widowControl/>
              <w:autoSpaceDE/>
              <w:autoSpaceDN/>
              <w:jc w:val="right"/>
              <w:rPr>
                <w:rFonts w:eastAsia="Times New Roman"/>
                <w:b/>
                <w:bCs/>
                <w:color w:val="000000" w:themeColor="text1"/>
                <w:sz w:val="20"/>
                <w:szCs w:val="20"/>
                <w:lang w:eastAsia="da-DK"/>
              </w:rPr>
            </w:pPr>
            <w:r w:rsidRPr="00900771">
              <w:rPr>
                <w:rFonts w:eastAsia="Times New Roman"/>
                <w:b/>
                <w:bCs/>
                <w:color w:val="000000" w:themeColor="text1"/>
                <w:sz w:val="20"/>
                <w:szCs w:val="20"/>
                <w:lang w:eastAsia="da-DK"/>
              </w:rPr>
              <w:t>-6,7%</w:t>
            </w:r>
          </w:p>
        </w:tc>
      </w:tr>
      <w:tr w:rsidR="00DF7DEC" w:rsidRPr="00900771" w14:paraId="407BD8DE" w14:textId="77777777" w:rsidTr="00601BC3">
        <w:trPr>
          <w:trHeight w:val="255"/>
        </w:trPr>
        <w:tc>
          <w:tcPr>
            <w:tcW w:w="6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1577C"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6205E"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47456"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FFE4F"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r>
      <w:tr w:rsidR="00DF7DEC" w:rsidRPr="00900771" w14:paraId="2F64FAD6" w14:textId="77777777" w:rsidTr="00601BC3">
        <w:trPr>
          <w:trHeight w:val="255"/>
        </w:trPr>
        <w:tc>
          <w:tcPr>
            <w:tcW w:w="6166" w:type="dxa"/>
            <w:tcBorders>
              <w:top w:val="single" w:sz="4" w:space="0" w:color="auto"/>
              <w:left w:val="single" w:sz="4" w:space="0" w:color="auto"/>
              <w:bottom w:val="single" w:sz="4" w:space="0" w:color="auto"/>
              <w:right w:val="nil"/>
            </w:tcBorders>
            <w:shd w:val="clear" w:color="auto" w:fill="auto"/>
            <w:noWrap/>
            <w:vAlign w:val="bottom"/>
            <w:hideMark/>
          </w:tcPr>
          <w:p w14:paraId="6A3B9104"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Selvrisiko (5% af omkostningsbudgettet) Videreføres i driften år +1</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73FFE"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E9838"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23E83"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3.000.000 </w:t>
            </w:r>
          </w:p>
        </w:tc>
      </w:tr>
      <w:tr w:rsidR="00DF7DEC" w:rsidRPr="00900771" w14:paraId="6E881012" w14:textId="77777777" w:rsidTr="00601BC3">
        <w:trPr>
          <w:trHeight w:val="255"/>
        </w:trPr>
        <w:tc>
          <w:tcPr>
            <w:tcW w:w="6166" w:type="dxa"/>
            <w:tcBorders>
              <w:top w:val="single" w:sz="4" w:space="0" w:color="auto"/>
              <w:left w:val="single" w:sz="4" w:space="0" w:color="auto"/>
              <w:bottom w:val="single" w:sz="4" w:space="0" w:color="auto"/>
              <w:right w:val="nil"/>
            </w:tcBorders>
            <w:shd w:val="clear" w:color="auto" w:fill="auto"/>
            <w:noWrap/>
            <w:vAlign w:val="bottom"/>
            <w:hideMark/>
          </w:tcPr>
          <w:p w14:paraId="4FF7B603"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Dækkes af andre økonomiske enheder (underskud over 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0E7BDC" w14:textId="77777777" w:rsidR="00DF7DEC" w:rsidRPr="00900771" w:rsidRDefault="00DF7DEC" w:rsidP="00601BC3">
            <w:pPr>
              <w:widowControl/>
              <w:autoSpaceDE/>
              <w:autoSpaceDN/>
              <w:rPr>
                <w:rFonts w:eastAsia="Times New Roman"/>
                <w:color w:val="000000" w:themeColor="text1"/>
                <w:sz w:val="20"/>
                <w:szCs w:val="20"/>
                <w:lang w:eastAsia="da-DK"/>
              </w:rPr>
            </w:pPr>
            <w:r w:rsidRPr="00900771">
              <w:rPr>
                <w:rFonts w:eastAsia="Times New Roman"/>
                <w:color w:val="000000" w:themeColor="text1"/>
                <w:sz w:val="20"/>
                <w:szCs w:val="20"/>
                <w:lang w:eastAsia="da-DK"/>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2A0E7" w14:textId="77777777" w:rsidR="00DF7DEC" w:rsidRPr="00900771" w:rsidRDefault="00DF7DEC" w:rsidP="00601BC3">
            <w:pPr>
              <w:widowControl/>
              <w:autoSpaceDE/>
              <w:autoSpaceDN/>
              <w:rPr>
                <w:rFonts w:eastAsia="Times New Roman"/>
                <w:color w:val="000000" w:themeColor="text1"/>
                <w:sz w:val="20"/>
                <w:szCs w:val="20"/>
                <w:lang w:eastAsia="da-DK"/>
              </w:rPr>
            </w:pP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3B307" w14:textId="77777777" w:rsidR="00DF7DEC" w:rsidRPr="00900771" w:rsidRDefault="00DF7DEC" w:rsidP="00601BC3">
            <w:pPr>
              <w:widowControl/>
              <w:autoSpaceDE/>
              <w:autoSpaceDN/>
              <w:jc w:val="right"/>
              <w:rPr>
                <w:rFonts w:eastAsia="Times New Roman"/>
                <w:color w:val="000000" w:themeColor="text1"/>
                <w:sz w:val="20"/>
                <w:szCs w:val="20"/>
                <w:lang w:eastAsia="da-DK"/>
              </w:rPr>
            </w:pPr>
            <w:r w:rsidRPr="00900771">
              <w:rPr>
                <w:rFonts w:eastAsia="Times New Roman"/>
                <w:color w:val="000000" w:themeColor="text1"/>
                <w:sz w:val="20"/>
                <w:szCs w:val="20"/>
                <w:lang w:eastAsia="da-DK"/>
              </w:rPr>
              <w:t xml:space="preserve">1.000.000 </w:t>
            </w:r>
          </w:p>
        </w:tc>
      </w:tr>
    </w:tbl>
    <w:p w14:paraId="74DD7E65" w14:textId="77777777" w:rsidR="00DF7DEC" w:rsidRPr="00A75EEB" w:rsidRDefault="00DF7DEC" w:rsidP="00DF7DEC">
      <w:pPr>
        <w:tabs>
          <w:tab w:val="left" w:pos="633"/>
        </w:tabs>
        <w:spacing w:before="101" w:line="229" w:lineRule="exact"/>
        <w:rPr>
          <w:b/>
          <w:color w:val="000000" w:themeColor="text1"/>
          <w:sz w:val="21"/>
          <w:szCs w:val="21"/>
        </w:rPr>
      </w:pPr>
    </w:p>
    <w:p w14:paraId="7046CC45" w14:textId="77777777" w:rsidR="00DF7DEC" w:rsidRDefault="00DF7DEC" w:rsidP="00DF7DEC">
      <w:pPr>
        <w:pStyle w:val="Brdtekst"/>
        <w:spacing w:before="159"/>
        <w:rPr>
          <w:b/>
          <w:bCs/>
          <w:color w:val="000000" w:themeColor="text1"/>
        </w:rPr>
      </w:pPr>
      <w:r w:rsidRPr="00CC7800">
        <w:rPr>
          <w:b/>
          <w:bCs/>
          <w:color w:val="000000" w:themeColor="text1"/>
        </w:rPr>
        <w:t>Indberetning af tilbud og takster</w:t>
      </w:r>
      <w:r>
        <w:rPr>
          <w:b/>
          <w:bCs/>
          <w:color w:val="000000" w:themeColor="text1"/>
        </w:rPr>
        <w:t xml:space="preserve"> for kommunale og regionale tilbud. </w:t>
      </w:r>
    </w:p>
    <w:p w14:paraId="67175C57" w14:textId="77777777" w:rsidR="00DF7DEC" w:rsidRPr="00EF1C47" w:rsidRDefault="00DF7DEC" w:rsidP="00DF7DEC">
      <w:pPr>
        <w:pStyle w:val="Brdtekst"/>
        <w:spacing w:before="159"/>
        <w:rPr>
          <w:b/>
          <w:bCs/>
          <w:color w:val="000000" w:themeColor="text1"/>
        </w:rPr>
      </w:pPr>
      <w:r w:rsidRPr="00EF1C47">
        <w:rPr>
          <w:color w:val="000000" w:themeColor="text1"/>
        </w:rPr>
        <w:t>Det er vigtigt, at det i forbindelse med indberetning af takster og tilbud til Rammeaftalen er synligt, om der er tale om et selvstændigt tilbud eller om der er tale om et tilbud, der er del af en økonomisk enhed. Det skal i indberetningen oplyses, hvilke tilbud og afdelinger, der hører under de enkelte</w:t>
      </w:r>
      <w:r w:rsidRPr="00EF1C47">
        <w:rPr>
          <w:color w:val="000000" w:themeColor="text1"/>
          <w:spacing w:val="-7"/>
        </w:rPr>
        <w:t xml:space="preserve"> </w:t>
      </w:r>
      <w:r w:rsidRPr="00EF1C47">
        <w:rPr>
          <w:color w:val="000000" w:themeColor="text1"/>
        </w:rPr>
        <w:t>centre/</w:t>
      </w:r>
      <w:proofErr w:type="spellStart"/>
      <w:r w:rsidRPr="00EF1C47">
        <w:rPr>
          <w:color w:val="000000" w:themeColor="text1"/>
        </w:rPr>
        <w:t>ledel</w:t>
      </w:r>
      <w:r>
        <w:rPr>
          <w:color w:val="000000" w:themeColor="text1"/>
        </w:rPr>
        <w:t>-</w:t>
      </w:r>
      <w:r w:rsidRPr="00EF1C47">
        <w:rPr>
          <w:color w:val="000000" w:themeColor="text1"/>
        </w:rPr>
        <w:t>sesområder</w:t>
      </w:r>
      <w:proofErr w:type="spellEnd"/>
      <w:r w:rsidRPr="00EF1C47">
        <w:rPr>
          <w:color w:val="000000" w:themeColor="text1"/>
        </w:rPr>
        <w:t xml:space="preserve">. Såfremt et tilbud, der er en del af en økonomisk enhed, skal betragtes som et selvstændig tilbud, skal dette fremgå tydeligt af indberetningen. Det er driftsherres ansvar at sikre, at dette sker. Såfremt det ikke fremgår ved indberetningen, vil tilbuddet betragtes som en del af en økonomisk enhed.  </w:t>
      </w:r>
    </w:p>
    <w:p w14:paraId="063E5764" w14:textId="77777777" w:rsidR="00DF7DEC" w:rsidRDefault="00DF7DEC" w:rsidP="00DF7DEC">
      <w:pPr>
        <w:pStyle w:val="Overskrift2"/>
        <w:spacing w:before="1"/>
        <w:ind w:left="0"/>
        <w:rPr>
          <w:color w:val="000000" w:themeColor="text1"/>
        </w:rPr>
      </w:pPr>
    </w:p>
    <w:p w14:paraId="20AB4C61" w14:textId="77777777" w:rsidR="00DF7DEC" w:rsidRPr="00900771" w:rsidRDefault="00DF7DEC" w:rsidP="00DF7DEC">
      <w:pPr>
        <w:pStyle w:val="Overskrift2"/>
        <w:spacing w:before="1"/>
        <w:ind w:left="0"/>
        <w:rPr>
          <w:color w:val="000000" w:themeColor="text1"/>
        </w:rPr>
      </w:pPr>
      <w:r w:rsidRPr="00900771">
        <w:rPr>
          <w:color w:val="000000" w:themeColor="text1"/>
        </w:rPr>
        <w:t>Procedure for lukkeregnskab</w:t>
      </w:r>
    </w:p>
    <w:p w14:paraId="669DEFCA" w14:textId="77777777" w:rsidR="00DF7DEC" w:rsidRPr="00900771" w:rsidRDefault="00DF7DEC" w:rsidP="00DF7DEC">
      <w:pPr>
        <w:rPr>
          <w:color w:val="000000" w:themeColor="text1"/>
        </w:rPr>
      </w:pPr>
    </w:p>
    <w:p w14:paraId="54050E52" w14:textId="77777777" w:rsidR="00DF7DEC" w:rsidRDefault="00DF7DEC" w:rsidP="00DF7DEC">
      <w:pPr>
        <w:pStyle w:val="Overskrift2"/>
        <w:numPr>
          <w:ilvl w:val="0"/>
          <w:numId w:val="2"/>
        </w:numPr>
        <w:tabs>
          <w:tab w:val="num" w:pos="360"/>
        </w:tabs>
        <w:spacing w:before="10"/>
        <w:ind w:left="332" w:firstLine="0"/>
        <w:rPr>
          <w:b w:val="0"/>
          <w:color w:val="000000" w:themeColor="text1"/>
        </w:rPr>
      </w:pPr>
      <w:r>
        <w:rPr>
          <w:b w:val="0"/>
          <w:color w:val="000000" w:themeColor="text1"/>
        </w:rPr>
        <w:t>Driftsherre orienterer Forretningsudvalget hurtigst muligt vedrørende lukning af et tilbud.</w:t>
      </w:r>
    </w:p>
    <w:p w14:paraId="610335E1" w14:textId="77777777" w:rsidR="00DF7DEC" w:rsidRPr="00900771" w:rsidRDefault="00DF7DEC" w:rsidP="00DF7DEC">
      <w:pPr>
        <w:pStyle w:val="Overskrift2"/>
        <w:numPr>
          <w:ilvl w:val="0"/>
          <w:numId w:val="2"/>
        </w:numPr>
        <w:tabs>
          <w:tab w:val="num" w:pos="360"/>
        </w:tabs>
        <w:spacing w:before="10"/>
        <w:ind w:left="332" w:firstLine="0"/>
        <w:rPr>
          <w:b w:val="0"/>
          <w:color w:val="000000" w:themeColor="text1"/>
        </w:rPr>
      </w:pPr>
      <w:r w:rsidRPr="00900771">
        <w:rPr>
          <w:b w:val="0"/>
          <w:color w:val="000000" w:themeColor="text1"/>
        </w:rPr>
        <w:t>Når det er besluttet</w:t>
      </w:r>
      <w:r>
        <w:rPr>
          <w:b w:val="0"/>
          <w:color w:val="000000" w:themeColor="text1"/>
        </w:rPr>
        <w:t>,</w:t>
      </w:r>
      <w:r w:rsidRPr="00900771">
        <w:rPr>
          <w:b w:val="0"/>
          <w:color w:val="000000" w:themeColor="text1"/>
        </w:rPr>
        <w:t xml:space="preserve"> at et tilbud lukker</w:t>
      </w:r>
      <w:r>
        <w:rPr>
          <w:b w:val="0"/>
          <w:color w:val="000000" w:themeColor="text1"/>
        </w:rPr>
        <w:t>,</w:t>
      </w:r>
      <w:r w:rsidRPr="00900771">
        <w:rPr>
          <w:b w:val="0"/>
          <w:color w:val="000000" w:themeColor="text1"/>
        </w:rPr>
        <w:t xml:space="preserve"> udarbejder driftsherre (kommunen/regionen) et foreløbigt lukkeregnskab. Dette skal ske hurtigst muligt og senest 3 måneder efter beslutningen. Dette sendes til orientering til Forretningsudvalget.</w:t>
      </w:r>
    </w:p>
    <w:p w14:paraId="5336EDA0" w14:textId="77777777" w:rsidR="00DF7DEC" w:rsidRPr="00900771" w:rsidRDefault="00DF7DEC" w:rsidP="00DF7DEC">
      <w:pPr>
        <w:pStyle w:val="Overskrift2"/>
        <w:numPr>
          <w:ilvl w:val="1"/>
          <w:numId w:val="2"/>
        </w:numPr>
        <w:tabs>
          <w:tab w:val="num" w:pos="360"/>
        </w:tabs>
        <w:spacing w:before="10"/>
        <w:ind w:left="332" w:firstLine="0"/>
        <w:rPr>
          <w:b w:val="0"/>
          <w:color w:val="000000" w:themeColor="text1"/>
        </w:rPr>
      </w:pPr>
      <w:r w:rsidRPr="00900771">
        <w:rPr>
          <w:b w:val="0"/>
          <w:color w:val="000000" w:themeColor="text1"/>
        </w:rPr>
        <w:t xml:space="preserve">Regnskabet skal indeholde forventede udgifter, samt en </w:t>
      </w:r>
      <w:r>
        <w:rPr>
          <w:b w:val="0"/>
          <w:color w:val="000000" w:themeColor="text1"/>
        </w:rPr>
        <w:t xml:space="preserve">eventuel </w:t>
      </w:r>
      <w:r w:rsidRPr="00900771">
        <w:rPr>
          <w:b w:val="0"/>
          <w:color w:val="000000" w:themeColor="text1"/>
        </w:rPr>
        <w:t>fordeling af disse på betalingskommuner.</w:t>
      </w:r>
    </w:p>
    <w:p w14:paraId="7D46FABF" w14:textId="77777777" w:rsidR="00DF7DEC" w:rsidRPr="00900771" w:rsidRDefault="00DF7DEC" w:rsidP="00DF7DEC">
      <w:pPr>
        <w:pStyle w:val="Overskrift2"/>
        <w:numPr>
          <w:ilvl w:val="1"/>
          <w:numId w:val="2"/>
        </w:numPr>
        <w:tabs>
          <w:tab w:val="num" w:pos="360"/>
        </w:tabs>
        <w:spacing w:before="10"/>
        <w:ind w:left="332" w:firstLine="0"/>
        <w:rPr>
          <w:b w:val="0"/>
          <w:color w:val="000000" w:themeColor="text1"/>
        </w:rPr>
      </w:pPr>
      <w:r w:rsidRPr="00900771">
        <w:rPr>
          <w:b w:val="0"/>
          <w:color w:val="000000" w:themeColor="text1"/>
        </w:rPr>
        <w:t>Regnskabet skal udarbejdes jf. nedenstående skabelon.</w:t>
      </w:r>
    </w:p>
    <w:p w14:paraId="270E799C" w14:textId="77777777" w:rsidR="00DF7DEC" w:rsidRPr="00900771" w:rsidRDefault="00DF7DEC" w:rsidP="00DF7DEC">
      <w:pPr>
        <w:pStyle w:val="Overskrift2"/>
        <w:numPr>
          <w:ilvl w:val="0"/>
          <w:numId w:val="2"/>
        </w:numPr>
        <w:tabs>
          <w:tab w:val="num" w:pos="360"/>
        </w:tabs>
        <w:spacing w:before="10"/>
        <w:ind w:left="332" w:firstLine="0"/>
        <w:rPr>
          <w:b w:val="0"/>
          <w:color w:val="000000" w:themeColor="text1"/>
        </w:rPr>
      </w:pPr>
      <w:r w:rsidRPr="00900771">
        <w:rPr>
          <w:b w:val="0"/>
          <w:color w:val="000000" w:themeColor="text1"/>
        </w:rPr>
        <w:lastRenderedPageBreak/>
        <w:t xml:space="preserve">Når det foreløbige lukkeregnskab har været behandlet i Forretningsudvalget, sender driftsherre det til de </w:t>
      </w:r>
      <w:r>
        <w:rPr>
          <w:b w:val="0"/>
          <w:color w:val="000000" w:themeColor="text1"/>
        </w:rPr>
        <w:t xml:space="preserve">eventuelt </w:t>
      </w:r>
      <w:r w:rsidRPr="00900771">
        <w:rPr>
          <w:b w:val="0"/>
          <w:color w:val="000000" w:themeColor="text1"/>
        </w:rPr>
        <w:t xml:space="preserve">berørte kommuner. </w:t>
      </w:r>
    </w:p>
    <w:p w14:paraId="715C11D6" w14:textId="77777777" w:rsidR="00DF7DEC" w:rsidRPr="00900771" w:rsidRDefault="00DF7DEC" w:rsidP="00DF7DEC">
      <w:pPr>
        <w:pStyle w:val="Overskrift2"/>
        <w:numPr>
          <w:ilvl w:val="0"/>
          <w:numId w:val="2"/>
        </w:numPr>
        <w:tabs>
          <w:tab w:val="num" w:pos="360"/>
        </w:tabs>
        <w:spacing w:before="10"/>
        <w:ind w:left="332" w:firstLine="0"/>
        <w:rPr>
          <w:b w:val="0"/>
          <w:color w:val="000000" w:themeColor="text1"/>
        </w:rPr>
      </w:pPr>
      <w:r w:rsidRPr="00900771">
        <w:rPr>
          <w:b w:val="0"/>
          <w:color w:val="000000" w:themeColor="text1"/>
        </w:rPr>
        <w:t xml:space="preserve">Frem til det endelige regnskab foreligger skal driftsherre orientere Forretningsudvalget og de berørte kommuner, hvis der er væsentlige ændringer til </w:t>
      </w:r>
      <w:r>
        <w:rPr>
          <w:b w:val="0"/>
          <w:color w:val="000000" w:themeColor="text1"/>
        </w:rPr>
        <w:t xml:space="preserve">det </w:t>
      </w:r>
      <w:r w:rsidRPr="00900771">
        <w:rPr>
          <w:b w:val="0"/>
          <w:color w:val="000000" w:themeColor="text1"/>
        </w:rPr>
        <w:t xml:space="preserve">foreløbige lukkeregnskab. </w:t>
      </w:r>
    </w:p>
    <w:p w14:paraId="74253979" w14:textId="77777777" w:rsidR="00DF7DEC" w:rsidRPr="00433C7F" w:rsidRDefault="00DF7DEC" w:rsidP="00DF7DEC">
      <w:pPr>
        <w:pStyle w:val="Overskrift2"/>
        <w:numPr>
          <w:ilvl w:val="0"/>
          <w:numId w:val="2"/>
        </w:numPr>
        <w:tabs>
          <w:tab w:val="num" w:pos="360"/>
        </w:tabs>
        <w:spacing w:before="10"/>
        <w:ind w:left="332" w:firstLine="0"/>
        <w:rPr>
          <w:b w:val="0"/>
          <w:color w:val="000000" w:themeColor="text1"/>
        </w:rPr>
      </w:pPr>
      <w:r w:rsidRPr="00900771">
        <w:rPr>
          <w:b w:val="0"/>
          <w:color w:val="000000" w:themeColor="text1"/>
        </w:rPr>
        <w:t>Driftsherre udarbejder et endeligt lukkeregnskab, som skal revisionspåtegnes</w:t>
      </w:r>
      <w:r>
        <w:rPr>
          <w:rStyle w:val="Fodnotehenvisning"/>
          <w:b w:val="0"/>
          <w:color w:val="000000" w:themeColor="text1"/>
        </w:rPr>
        <w:footnoteReference w:id="12"/>
      </w:r>
      <w:r>
        <w:rPr>
          <w:b w:val="0"/>
          <w:color w:val="000000" w:themeColor="text1"/>
        </w:rPr>
        <w:t>, såfremt der skal ske en efterregulering af underskuddet</w:t>
      </w:r>
      <w:r w:rsidRPr="00900771">
        <w:rPr>
          <w:b w:val="0"/>
          <w:color w:val="000000" w:themeColor="text1"/>
        </w:rPr>
        <w:t xml:space="preserve">. Dette forelægges Socialdirektørforum. Regnskabet skal udarbejdes i henhold til vedlagte skabelon. Når det endelige lukkeregnskab har været behandlet i Socialdirektørforum, sender driftsherren det til de berørte kommuner. </w:t>
      </w:r>
    </w:p>
    <w:p w14:paraId="531AC52D" w14:textId="77777777" w:rsidR="00DF7DEC" w:rsidRPr="00900771" w:rsidRDefault="00DF7DEC" w:rsidP="00DF7DEC">
      <w:pPr>
        <w:rPr>
          <w:color w:val="000000" w:themeColor="text1"/>
        </w:rPr>
      </w:pPr>
    </w:p>
    <w:p w14:paraId="450B30AE" w14:textId="77777777" w:rsidR="00DF7DEC" w:rsidRDefault="00DF7DEC" w:rsidP="00DF7DEC">
      <w:pPr>
        <w:pStyle w:val="Overskrift2"/>
        <w:spacing w:before="1"/>
        <w:ind w:left="0"/>
        <w:rPr>
          <w:b w:val="0"/>
          <w:bCs w:val="0"/>
          <w:i/>
          <w:iCs/>
          <w:color w:val="000000" w:themeColor="text1"/>
          <w:u w:val="single"/>
        </w:rPr>
      </w:pPr>
      <w:r>
        <w:rPr>
          <w:b w:val="0"/>
          <w:bCs w:val="0"/>
          <w:i/>
          <w:iCs/>
          <w:color w:val="000000" w:themeColor="text1"/>
          <w:u w:val="single"/>
        </w:rPr>
        <w:t xml:space="preserve">På </w:t>
      </w:r>
      <w:hyperlink r:id="rId7" w:history="1">
        <w:r w:rsidRPr="007A578E">
          <w:rPr>
            <w:rStyle w:val="Hyperlink"/>
            <w:b w:val="0"/>
            <w:bCs w:val="0"/>
            <w:i/>
            <w:iCs/>
          </w:rPr>
          <w:t>www.Socialsekretariatet.dk</w:t>
        </w:r>
      </w:hyperlink>
      <w:r>
        <w:rPr>
          <w:b w:val="0"/>
          <w:bCs w:val="0"/>
          <w:i/>
          <w:iCs/>
          <w:color w:val="000000" w:themeColor="text1"/>
          <w:u w:val="single"/>
        </w:rPr>
        <w:t xml:space="preserve"> findes en s</w:t>
      </w:r>
      <w:r w:rsidRPr="00900771">
        <w:rPr>
          <w:b w:val="0"/>
          <w:bCs w:val="0"/>
          <w:i/>
          <w:iCs/>
          <w:color w:val="000000" w:themeColor="text1"/>
          <w:u w:val="single"/>
        </w:rPr>
        <w:t>kabelon til lukkeregnskab.</w:t>
      </w:r>
    </w:p>
    <w:p w14:paraId="59575B2D" w14:textId="77777777" w:rsidR="00DF7DEC" w:rsidRPr="00900771" w:rsidRDefault="00DF7DEC" w:rsidP="00DF7DEC">
      <w:pPr>
        <w:pStyle w:val="Overskrift2"/>
        <w:spacing w:before="1"/>
        <w:ind w:left="0"/>
        <w:rPr>
          <w:color w:val="000000" w:themeColor="text1"/>
        </w:rPr>
      </w:pPr>
    </w:p>
    <w:p w14:paraId="0751B0A2" w14:textId="77777777" w:rsidR="00DF7DEC" w:rsidRPr="00A75EEB" w:rsidRDefault="00DF7DEC" w:rsidP="00DF7DEC">
      <w:pPr>
        <w:widowControl/>
        <w:adjustRightInd w:val="0"/>
        <w:rPr>
          <w:color w:val="000000" w:themeColor="text1"/>
          <w:sz w:val="21"/>
          <w:szCs w:val="21"/>
        </w:rPr>
      </w:pPr>
      <w:r w:rsidRPr="00A75EEB">
        <w:rPr>
          <w:color w:val="000000" w:themeColor="text1"/>
          <w:sz w:val="21"/>
          <w:szCs w:val="21"/>
        </w:rPr>
        <w:t xml:space="preserve">Der henvises derudover til bilag 4, tabel 4.1, </w:t>
      </w:r>
      <w:r w:rsidRPr="00A75EEB">
        <w:rPr>
          <w:rFonts w:eastAsiaTheme="minorHAnsi"/>
          <w:color w:val="000000" w:themeColor="text1"/>
          <w:sz w:val="21"/>
          <w:szCs w:val="21"/>
        </w:rPr>
        <w:t>ift. processen ved ændringer i kapacitet herunder proces ved lukning af tilbud.</w:t>
      </w:r>
    </w:p>
    <w:p w14:paraId="0D1A2C2C" w14:textId="77777777" w:rsidR="000D5A9B" w:rsidRPr="000D5A9B" w:rsidRDefault="000D5A9B">
      <w:pPr>
        <w:rPr>
          <w:rFonts w:ascii="Verdana" w:hAnsi="Verdana"/>
          <w:sz w:val="20"/>
          <w:szCs w:val="20"/>
        </w:rPr>
      </w:pPr>
    </w:p>
    <w:sectPr w:rsidR="000D5A9B" w:rsidRPr="000D5A9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3A6A7" w14:textId="77777777" w:rsidR="00DF7DEC" w:rsidRDefault="00DF7DEC" w:rsidP="00DF7DEC">
      <w:r>
        <w:separator/>
      </w:r>
    </w:p>
  </w:endnote>
  <w:endnote w:type="continuationSeparator" w:id="0">
    <w:p w14:paraId="53B756E2" w14:textId="77777777" w:rsidR="00DF7DEC" w:rsidRDefault="00DF7DEC" w:rsidP="00DF7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5DB89" w14:textId="77777777" w:rsidR="00DF7DEC" w:rsidRDefault="00DF7DEC" w:rsidP="00DF7DEC">
      <w:r>
        <w:separator/>
      </w:r>
    </w:p>
  </w:footnote>
  <w:footnote w:type="continuationSeparator" w:id="0">
    <w:p w14:paraId="33ECC49F" w14:textId="77777777" w:rsidR="00DF7DEC" w:rsidRDefault="00DF7DEC" w:rsidP="00DF7DEC">
      <w:r>
        <w:continuationSeparator/>
      </w:r>
    </w:p>
  </w:footnote>
  <w:footnote w:id="1">
    <w:p w14:paraId="63F1DDD0" w14:textId="77777777" w:rsidR="00DF7DEC" w:rsidRPr="00422D90" w:rsidRDefault="00DF7DEC" w:rsidP="00DF7DEC">
      <w:pPr>
        <w:pStyle w:val="Fodnotetekst"/>
      </w:pPr>
      <w:r w:rsidRPr="00422D90">
        <w:rPr>
          <w:rStyle w:val="Fodnotehenvisning"/>
        </w:rPr>
        <w:footnoteRef/>
      </w:r>
      <w:r w:rsidRPr="00422D90">
        <w:t xml:space="preserve"> Hvis der ved lukning af et tilbud er et overskud</w:t>
      </w:r>
      <w:r>
        <w:t>,</w:t>
      </w:r>
      <w:r w:rsidRPr="00422D90">
        <w:t xml:space="preserve"> gælder samme princip, blot med modsat fortegn. Driftsherre må således beholde de første 5 % af de</w:t>
      </w:r>
      <w:r>
        <w:t xml:space="preserve">n </w:t>
      </w:r>
      <w:proofErr w:type="spellStart"/>
      <w:r>
        <w:t>takstbaserede</w:t>
      </w:r>
      <w:proofErr w:type="spellEnd"/>
      <w:r>
        <w:t xml:space="preserve"> omsætning</w:t>
      </w:r>
      <w:r w:rsidRPr="00422D90">
        <w:t>, hvorefter det resterende beløb efterreguleres.</w:t>
      </w:r>
    </w:p>
  </w:footnote>
  <w:footnote w:id="2">
    <w:p w14:paraId="50D75FC9" w14:textId="77777777" w:rsidR="00DF7DEC" w:rsidRPr="00AE6ABB" w:rsidRDefault="00DF7DEC" w:rsidP="00DF7DEC">
      <w:pPr>
        <w:pStyle w:val="Fodnotetekst"/>
      </w:pPr>
      <w:r>
        <w:rPr>
          <w:rStyle w:val="Fodnotehenvisning"/>
        </w:rPr>
        <w:footnoteRef/>
      </w:r>
      <w:r w:rsidRPr="00AE6ABB">
        <w:t xml:space="preserve"> Ledelsesområde defineres som niveauet over tilbud/ enhed</w:t>
      </w:r>
    </w:p>
  </w:footnote>
  <w:footnote w:id="3">
    <w:p w14:paraId="71827915" w14:textId="77777777" w:rsidR="00DF7DEC" w:rsidRPr="001C61B6" w:rsidRDefault="00DF7DEC" w:rsidP="00DF7DEC">
      <w:pPr>
        <w:pStyle w:val="Fodnotetekst"/>
      </w:pPr>
      <w:r>
        <w:rPr>
          <w:rStyle w:val="Fodnotehenvisning"/>
        </w:rPr>
        <w:footnoteRef/>
      </w:r>
      <w:r w:rsidRPr="001C61B6">
        <w:t xml:space="preserve"> </w:t>
      </w:r>
      <w:r>
        <w:t xml:space="preserve">Andel af omsætningen i </w:t>
      </w:r>
      <w:r w:rsidRPr="00A309E6">
        <w:t>to regnskabsår forud for det år, hvori beslutning om lukning af tilbud træffes</w:t>
      </w:r>
      <w:r>
        <w:t>. Eksempel: hvis tilbuddet besluttes lukket i 2021 er det andel af omsætningen i 2019 og 2020.</w:t>
      </w:r>
    </w:p>
  </w:footnote>
  <w:footnote w:id="4">
    <w:p w14:paraId="356C1D61" w14:textId="77777777" w:rsidR="00DF7DEC" w:rsidRPr="00422D90" w:rsidRDefault="00DF7DEC" w:rsidP="00DF7DEC">
      <w:pPr>
        <w:pStyle w:val="Fodnotetekst"/>
      </w:pPr>
      <w:r w:rsidRPr="00422D90">
        <w:rPr>
          <w:rStyle w:val="Fodnotehenvisning"/>
        </w:rPr>
        <w:footnoteRef/>
      </w:r>
      <w:r w:rsidRPr="00422D90">
        <w:t xml:space="preserve"> Hvis der ved lukning af et tilbud er et overskud</w:t>
      </w:r>
      <w:r>
        <w:t>,</w:t>
      </w:r>
      <w:r w:rsidRPr="00422D90">
        <w:t xml:space="preserve"> gælder samme princip, blot med modsat fortegn. Driftsherre må således beholde de første 5 % af de</w:t>
      </w:r>
      <w:r>
        <w:t xml:space="preserve">n </w:t>
      </w:r>
      <w:proofErr w:type="spellStart"/>
      <w:r>
        <w:t>takstbaserede</w:t>
      </w:r>
      <w:proofErr w:type="spellEnd"/>
      <w:r>
        <w:t xml:space="preserve"> omsætning</w:t>
      </w:r>
      <w:r w:rsidRPr="00422D90">
        <w:t>, hvorefter det resterende beløb efterreguleres.</w:t>
      </w:r>
    </w:p>
  </w:footnote>
  <w:footnote w:id="5">
    <w:p w14:paraId="0FAFEABB" w14:textId="77777777" w:rsidR="00DF7DEC" w:rsidRPr="005E2407" w:rsidRDefault="00DF7DEC" w:rsidP="00DF7DEC">
      <w:pPr>
        <w:pStyle w:val="Fodnotetekst"/>
      </w:pPr>
      <w:r>
        <w:rPr>
          <w:rStyle w:val="Fodnotehenvisning"/>
        </w:rPr>
        <w:footnoteRef/>
      </w:r>
      <w:r w:rsidRPr="005E2407">
        <w:t xml:space="preserve"> Andel af underskud over 5 % fordeles derefter på centret enheder efter budgetstørrelse </w:t>
      </w:r>
    </w:p>
  </w:footnote>
  <w:footnote w:id="6">
    <w:p w14:paraId="6ACCCF43" w14:textId="77777777" w:rsidR="00DF7DEC" w:rsidRPr="00AE6ABB" w:rsidRDefault="00DF7DEC" w:rsidP="00DF7DEC">
      <w:pPr>
        <w:pStyle w:val="Fodnotetekst"/>
      </w:pPr>
      <w:r>
        <w:rPr>
          <w:rStyle w:val="Fodnotehenvisning"/>
        </w:rPr>
        <w:footnoteRef/>
      </w:r>
      <w:r w:rsidRPr="00AE6ABB">
        <w:t xml:space="preserve"> </w:t>
      </w:r>
      <w:r>
        <w:t xml:space="preserve">Andel af omsætningen i </w:t>
      </w:r>
      <w:r w:rsidRPr="00A309E6">
        <w:t>to regnskabsår forud for det år, hvori beslutning om lukning af tilbud træffes</w:t>
      </w:r>
      <w:r>
        <w:t>. Eksempel: hvis tilbuddet besluttes lukket i 2021 er det andel af omsætningen i 2019 og 2020.</w:t>
      </w:r>
    </w:p>
  </w:footnote>
  <w:footnote w:id="7">
    <w:p w14:paraId="4E383A8B" w14:textId="77777777" w:rsidR="00DF7DEC" w:rsidRPr="00714967" w:rsidRDefault="00DF7DEC" w:rsidP="00DF7DEC">
      <w:pPr>
        <w:pStyle w:val="Fodnotetekst"/>
      </w:pPr>
      <w:r>
        <w:rPr>
          <w:rStyle w:val="Fodnotehenvisning"/>
        </w:rPr>
        <w:footnoteRef/>
      </w:r>
      <w:r w:rsidRPr="00714967">
        <w:t xml:space="preserve"> </w:t>
      </w:r>
      <w:r>
        <w:t xml:space="preserve">Eksempel: Hvis en kommune i 2021 træffer beslutning om at lukke et tilbud vil en eventuel efterregulering fordeles </w:t>
      </w:r>
      <w:r w:rsidRPr="00A309E6">
        <w:t xml:space="preserve">forholdsmæssigt mellem betalingskommunerne efter </w:t>
      </w:r>
      <w:r>
        <w:t>deres andel af den</w:t>
      </w:r>
      <w:r w:rsidRPr="00A309E6">
        <w:t xml:space="preserve"> samlede</w:t>
      </w:r>
      <w:r>
        <w:t xml:space="preserve"> omsætning</w:t>
      </w:r>
      <w:r w:rsidRPr="00A309E6">
        <w:t xml:space="preserve"> i </w:t>
      </w:r>
      <w:r>
        <w:t>2019 og 2020.</w:t>
      </w:r>
    </w:p>
  </w:footnote>
  <w:footnote w:id="8">
    <w:p w14:paraId="5E2AD46A" w14:textId="77777777" w:rsidR="00DF7DEC" w:rsidRPr="00422D90" w:rsidRDefault="00DF7DEC" w:rsidP="00DF7DEC">
      <w:pPr>
        <w:pStyle w:val="Fodnotetekst"/>
      </w:pPr>
      <w:r w:rsidRPr="00422D90">
        <w:rPr>
          <w:rStyle w:val="Fodnotehenvisning"/>
        </w:rPr>
        <w:footnoteRef/>
      </w:r>
      <w:r w:rsidRPr="00422D90">
        <w:t xml:space="preserve"> Den økonomiske enhed som tilbuddet er en del af.</w:t>
      </w:r>
    </w:p>
  </w:footnote>
  <w:footnote w:id="9">
    <w:p w14:paraId="2C23D242" w14:textId="77777777" w:rsidR="00DF7DEC" w:rsidRPr="00422D90" w:rsidRDefault="00DF7DEC" w:rsidP="00DF7DEC">
      <w:pPr>
        <w:pStyle w:val="Fodnotetekst"/>
      </w:pPr>
      <w:r w:rsidRPr="00422D90">
        <w:rPr>
          <w:rStyle w:val="Fodnotehenvisning"/>
        </w:rPr>
        <w:footnoteRef/>
      </w:r>
      <w:r w:rsidRPr="00422D90">
        <w:t xml:space="preserve"> Driftsherrerne i Syddanmark kan beholde op til fem procent af et eventuelt overskud. Overskuddet kan anvendes til dækning af underskud, effektivisere, kvalitetsudvikle eller lignende indenfor driftsherrens øvrige rammeaftaletilbud inden for samme ledelsesområde/ center.</w:t>
      </w:r>
    </w:p>
  </w:footnote>
  <w:footnote w:id="10">
    <w:p w14:paraId="7545E918" w14:textId="77777777" w:rsidR="00DF7DEC" w:rsidRPr="00447EC9" w:rsidRDefault="00DF7DEC" w:rsidP="00DF7DEC">
      <w:pPr>
        <w:pStyle w:val="Fodnotetekst"/>
      </w:pPr>
      <w:r w:rsidRPr="00422D90">
        <w:rPr>
          <w:rStyle w:val="Fodnotehenvisning"/>
        </w:rPr>
        <w:footnoteRef/>
      </w:r>
      <w:r w:rsidRPr="00422D90">
        <w:t xml:space="preserve"> Den </w:t>
      </w:r>
      <w:r>
        <w:t xml:space="preserve">økonomiske enhed </w:t>
      </w:r>
      <w:r w:rsidRPr="00422D90">
        <w:t>som tilbuddet er en del af</w:t>
      </w:r>
    </w:p>
  </w:footnote>
  <w:footnote w:id="11">
    <w:p w14:paraId="160C23A0" w14:textId="77777777" w:rsidR="00DF7DEC" w:rsidRPr="00F17D75" w:rsidRDefault="00DF7DEC" w:rsidP="00DF7DEC">
      <w:pPr>
        <w:pStyle w:val="Fodnotetekst"/>
      </w:pPr>
      <w:r>
        <w:rPr>
          <w:rStyle w:val="Fodnotehenvisning"/>
        </w:rPr>
        <w:footnoteRef/>
      </w:r>
      <w:r w:rsidRPr="00F17D75">
        <w:t xml:space="preserve"> </w:t>
      </w:r>
      <w:r w:rsidRPr="00422D90">
        <w:t xml:space="preserve">Såfremt der er overskud ved lukning af </w:t>
      </w:r>
      <w:r>
        <w:t xml:space="preserve">et selvstændigt </w:t>
      </w:r>
      <w:r w:rsidRPr="00422D90">
        <w:t>tilbud håndteres dette på samme måde, blot med modsat fortegn</w:t>
      </w:r>
    </w:p>
  </w:footnote>
  <w:footnote w:id="12">
    <w:p w14:paraId="6ABF65CC" w14:textId="77777777" w:rsidR="00DF7DEC" w:rsidRPr="00907DA3" w:rsidRDefault="00DF7DEC" w:rsidP="00DF7DEC">
      <w:pPr>
        <w:pStyle w:val="Fodnotetekst"/>
      </w:pPr>
      <w:r>
        <w:rPr>
          <w:rStyle w:val="Fodnotehenvisning"/>
        </w:rPr>
        <w:footnoteRef/>
      </w:r>
      <w:r w:rsidRPr="00907DA3">
        <w:t xml:space="preserve"> </w:t>
      </w:r>
      <w:r>
        <w:t xml:space="preserve">Udgift til revisionspåtegnelsen kan indregnes i lukkeregnskabet.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AEC"/>
    <w:multiLevelType w:val="hybridMultilevel"/>
    <w:tmpl w:val="C8EA527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EC938FD"/>
    <w:multiLevelType w:val="hybridMultilevel"/>
    <w:tmpl w:val="3D30E5BE"/>
    <w:lvl w:ilvl="0" w:tplc="04060001">
      <w:start w:val="1"/>
      <w:numFmt w:val="bullet"/>
      <w:lvlText w:val=""/>
      <w:lvlJc w:val="left"/>
      <w:pPr>
        <w:ind w:left="1052" w:hanging="360"/>
      </w:pPr>
      <w:rPr>
        <w:rFonts w:ascii="Symbol" w:hAnsi="Symbol" w:hint="default"/>
      </w:rPr>
    </w:lvl>
    <w:lvl w:ilvl="1" w:tplc="04060003" w:tentative="1">
      <w:start w:val="1"/>
      <w:numFmt w:val="bullet"/>
      <w:lvlText w:val="o"/>
      <w:lvlJc w:val="left"/>
      <w:pPr>
        <w:ind w:left="1772" w:hanging="360"/>
      </w:pPr>
      <w:rPr>
        <w:rFonts w:ascii="Courier New" w:hAnsi="Courier New" w:cs="Courier New" w:hint="default"/>
      </w:rPr>
    </w:lvl>
    <w:lvl w:ilvl="2" w:tplc="04060005" w:tentative="1">
      <w:start w:val="1"/>
      <w:numFmt w:val="bullet"/>
      <w:lvlText w:val=""/>
      <w:lvlJc w:val="left"/>
      <w:pPr>
        <w:ind w:left="2492" w:hanging="360"/>
      </w:pPr>
      <w:rPr>
        <w:rFonts w:ascii="Wingdings" w:hAnsi="Wingdings" w:hint="default"/>
      </w:rPr>
    </w:lvl>
    <w:lvl w:ilvl="3" w:tplc="04060001" w:tentative="1">
      <w:start w:val="1"/>
      <w:numFmt w:val="bullet"/>
      <w:lvlText w:val=""/>
      <w:lvlJc w:val="left"/>
      <w:pPr>
        <w:ind w:left="3212" w:hanging="360"/>
      </w:pPr>
      <w:rPr>
        <w:rFonts w:ascii="Symbol" w:hAnsi="Symbol" w:hint="default"/>
      </w:rPr>
    </w:lvl>
    <w:lvl w:ilvl="4" w:tplc="04060003" w:tentative="1">
      <w:start w:val="1"/>
      <w:numFmt w:val="bullet"/>
      <w:lvlText w:val="o"/>
      <w:lvlJc w:val="left"/>
      <w:pPr>
        <w:ind w:left="3932" w:hanging="360"/>
      </w:pPr>
      <w:rPr>
        <w:rFonts w:ascii="Courier New" w:hAnsi="Courier New" w:cs="Courier New" w:hint="default"/>
      </w:rPr>
    </w:lvl>
    <w:lvl w:ilvl="5" w:tplc="04060005" w:tentative="1">
      <w:start w:val="1"/>
      <w:numFmt w:val="bullet"/>
      <w:lvlText w:val=""/>
      <w:lvlJc w:val="left"/>
      <w:pPr>
        <w:ind w:left="4652" w:hanging="360"/>
      </w:pPr>
      <w:rPr>
        <w:rFonts w:ascii="Wingdings" w:hAnsi="Wingdings" w:hint="default"/>
      </w:rPr>
    </w:lvl>
    <w:lvl w:ilvl="6" w:tplc="04060001" w:tentative="1">
      <w:start w:val="1"/>
      <w:numFmt w:val="bullet"/>
      <w:lvlText w:val=""/>
      <w:lvlJc w:val="left"/>
      <w:pPr>
        <w:ind w:left="5372" w:hanging="360"/>
      </w:pPr>
      <w:rPr>
        <w:rFonts w:ascii="Symbol" w:hAnsi="Symbol" w:hint="default"/>
      </w:rPr>
    </w:lvl>
    <w:lvl w:ilvl="7" w:tplc="04060003" w:tentative="1">
      <w:start w:val="1"/>
      <w:numFmt w:val="bullet"/>
      <w:lvlText w:val="o"/>
      <w:lvlJc w:val="left"/>
      <w:pPr>
        <w:ind w:left="6092" w:hanging="360"/>
      </w:pPr>
      <w:rPr>
        <w:rFonts w:ascii="Courier New" w:hAnsi="Courier New" w:cs="Courier New" w:hint="default"/>
      </w:rPr>
    </w:lvl>
    <w:lvl w:ilvl="8" w:tplc="04060005" w:tentative="1">
      <w:start w:val="1"/>
      <w:numFmt w:val="bullet"/>
      <w:lvlText w:val=""/>
      <w:lvlJc w:val="left"/>
      <w:pPr>
        <w:ind w:left="6812" w:hanging="360"/>
      </w:pPr>
      <w:rPr>
        <w:rFonts w:ascii="Wingdings" w:hAnsi="Wingdings" w:hint="default"/>
      </w:rPr>
    </w:lvl>
  </w:abstractNum>
  <w:abstractNum w:abstractNumId="2" w15:restartNumberingAfterBreak="0">
    <w:nsid w:val="7E2E0F6A"/>
    <w:multiLevelType w:val="hybridMultilevel"/>
    <w:tmpl w:val="FB06BF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EC"/>
    <w:rsid w:val="000D5A9B"/>
    <w:rsid w:val="00DF7D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56EC"/>
  <w15:chartTrackingRefBased/>
  <w15:docId w15:val="{4F1A0460-DD55-4520-9B74-28486A9D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DEC"/>
    <w:pPr>
      <w:widowControl w:val="0"/>
      <w:autoSpaceDE w:val="0"/>
      <w:autoSpaceDN w:val="0"/>
      <w:spacing w:after="0" w:line="240" w:lineRule="auto"/>
    </w:pPr>
    <w:rPr>
      <w:rFonts w:ascii="Arial" w:eastAsia="Arial" w:hAnsi="Arial" w:cs="Arial"/>
    </w:rPr>
  </w:style>
  <w:style w:type="paragraph" w:styleId="Overskrift1">
    <w:name w:val="heading 1"/>
    <w:basedOn w:val="Normal"/>
    <w:link w:val="Overskrift1Tegn"/>
    <w:uiPriority w:val="9"/>
    <w:qFormat/>
    <w:rsid w:val="00DF7DEC"/>
    <w:pPr>
      <w:ind w:left="332"/>
      <w:outlineLvl w:val="0"/>
    </w:pPr>
    <w:rPr>
      <w:rFonts w:ascii="Cambria" w:eastAsia="Cambria" w:hAnsi="Cambria" w:cs="Cambria"/>
      <w:sz w:val="36"/>
      <w:szCs w:val="36"/>
    </w:rPr>
  </w:style>
  <w:style w:type="paragraph" w:styleId="Overskrift2">
    <w:name w:val="heading 2"/>
    <w:basedOn w:val="Normal"/>
    <w:link w:val="Overskrift2Tegn"/>
    <w:uiPriority w:val="9"/>
    <w:unhideWhenUsed/>
    <w:qFormat/>
    <w:rsid w:val="00DF7DEC"/>
    <w:pPr>
      <w:ind w:left="332"/>
      <w:outlineLvl w:val="1"/>
    </w:pPr>
    <w:rPr>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DEC"/>
    <w:rPr>
      <w:rFonts w:ascii="Cambria" w:eastAsia="Cambria" w:hAnsi="Cambria" w:cs="Cambria"/>
      <w:sz w:val="36"/>
      <w:szCs w:val="36"/>
    </w:rPr>
  </w:style>
  <w:style w:type="character" w:customStyle="1" w:styleId="Overskrift2Tegn">
    <w:name w:val="Overskrift 2 Tegn"/>
    <w:basedOn w:val="Standardskrifttypeiafsnit"/>
    <w:link w:val="Overskrift2"/>
    <w:uiPriority w:val="9"/>
    <w:rsid w:val="00DF7DEC"/>
    <w:rPr>
      <w:rFonts w:ascii="Arial" w:eastAsia="Arial" w:hAnsi="Arial" w:cs="Arial"/>
      <w:b/>
      <w:bCs/>
      <w:sz w:val="21"/>
      <w:szCs w:val="21"/>
    </w:rPr>
  </w:style>
  <w:style w:type="paragraph" w:styleId="Brdtekst">
    <w:name w:val="Body Text"/>
    <w:basedOn w:val="Normal"/>
    <w:link w:val="BrdtekstTegn"/>
    <w:uiPriority w:val="1"/>
    <w:qFormat/>
    <w:rsid w:val="00DF7DEC"/>
    <w:rPr>
      <w:sz w:val="21"/>
      <w:szCs w:val="21"/>
    </w:rPr>
  </w:style>
  <w:style w:type="character" w:customStyle="1" w:styleId="BrdtekstTegn">
    <w:name w:val="Brødtekst Tegn"/>
    <w:basedOn w:val="Standardskrifttypeiafsnit"/>
    <w:link w:val="Brdtekst"/>
    <w:uiPriority w:val="1"/>
    <w:rsid w:val="00DF7DEC"/>
    <w:rPr>
      <w:rFonts w:ascii="Arial" w:eastAsia="Arial" w:hAnsi="Arial" w:cs="Arial"/>
      <w:sz w:val="21"/>
      <w:szCs w:val="21"/>
    </w:rPr>
  </w:style>
  <w:style w:type="character" w:styleId="Hyperlink">
    <w:name w:val="Hyperlink"/>
    <w:basedOn w:val="Standardskrifttypeiafsnit"/>
    <w:uiPriority w:val="99"/>
    <w:unhideWhenUsed/>
    <w:rsid w:val="00DF7DEC"/>
    <w:rPr>
      <w:color w:val="0563C1" w:themeColor="hyperlink"/>
      <w:u w:val="single"/>
    </w:rPr>
  </w:style>
  <w:style w:type="paragraph" w:styleId="Fodnotetekst">
    <w:name w:val="footnote text"/>
    <w:basedOn w:val="Normal"/>
    <w:link w:val="FodnotetekstTegn"/>
    <w:uiPriority w:val="99"/>
    <w:semiHidden/>
    <w:unhideWhenUsed/>
    <w:rsid w:val="00DF7DEC"/>
    <w:rPr>
      <w:sz w:val="20"/>
      <w:szCs w:val="20"/>
    </w:rPr>
  </w:style>
  <w:style w:type="character" w:customStyle="1" w:styleId="FodnotetekstTegn">
    <w:name w:val="Fodnotetekst Tegn"/>
    <w:basedOn w:val="Standardskrifttypeiafsnit"/>
    <w:link w:val="Fodnotetekst"/>
    <w:uiPriority w:val="99"/>
    <w:semiHidden/>
    <w:rsid w:val="00DF7DEC"/>
    <w:rPr>
      <w:rFonts w:ascii="Arial" w:eastAsia="Arial" w:hAnsi="Arial" w:cs="Arial"/>
      <w:sz w:val="20"/>
      <w:szCs w:val="20"/>
    </w:rPr>
  </w:style>
  <w:style w:type="character" w:styleId="Fodnotehenvisning">
    <w:name w:val="footnote reference"/>
    <w:basedOn w:val="Standardskrifttypeiafsnit"/>
    <w:uiPriority w:val="99"/>
    <w:semiHidden/>
    <w:unhideWhenUsed/>
    <w:rsid w:val="00DF7D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ialsekretariat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9203</Characters>
  <Application>Microsoft Office Word</Application>
  <DocSecurity>0</DocSecurity>
  <Lines>76</Lines>
  <Paragraphs>21</Paragraphs>
  <ScaleCrop>false</ScaleCrop>
  <Company>Middelfart Kommune</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Kryger</dc:creator>
  <cp:keywords/>
  <dc:description/>
  <cp:lastModifiedBy>Nina Kryger</cp:lastModifiedBy>
  <cp:revision>1</cp:revision>
  <dcterms:created xsi:type="dcterms:W3CDTF">2022-12-19T08:30:00Z</dcterms:created>
  <dcterms:modified xsi:type="dcterms:W3CDTF">2022-12-19T08:34:00Z</dcterms:modified>
</cp:coreProperties>
</file>