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845B" w14:textId="77777777" w:rsidR="00694299" w:rsidRPr="00B355B0" w:rsidRDefault="00694299" w:rsidP="00694299">
      <w:pPr>
        <w:pStyle w:val="Overskrift1"/>
        <w:ind w:left="0"/>
        <w:rPr>
          <w:color w:val="C45911" w:themeColor="accent2" w:themeShade="BF"/>
        </w:rPr>
      </w:pPr>
      <w:bookmarkStart w:id="0" w:name="_Toc104897245"/>
      <w:r w:rsidRPr="00B355B0">
        <w:rPr>
          <w:color w:val="C45911" w:themeColor="accent2" w:themeShade="BF"/>
        </w:rPr>
        <w:t>Bilag 6: Opsigelsesvarsler</w:t>
      </w:r>
      <w:bookmarkEnd w:id="0"/>
    </w:p>
    <w:p w14:paraId="0DB055DA" w14:textId="77777777" w:rsidR="00694299" w:rsidRDefault="00694299" w:rsidP="00694299">
      <w:pPr>
        <w:pStyle w:val="Brdtekst"/>
        <w:ind w:left="332"/>
      </w:pPr>
    </w:p>
    <w:p w14:paraId="40DA47EA" w14:textId="77777777" w:rsidR="00694299" w:rsidRDefault="00694299" w:rsidP="00694299">
      <w:pPr>
        <w:pStyle w:val="Brdtekst"/>
        <w:rPr>
          <w:sz w:val="20"/>
          <w:szCs w:val="20"/>
        </w:rPr>
      </w:pPr>
      <w:r>
        <w:t>Ved ophør fra handlekommunen betales til og med ophørsdato, dog minimum efter nedenstående opsigelsesfrister</w:t>
      </w:r>
      <w:r>
        <w:rPr>
          <w:sz w:val="20"/>
          <w:szCs w:val="20"/>
        </w:rPr>
        <w:t>:</w:t>
      </w:r>
    </w:p>
    <w:p w14:paraId="1105ACEF" w14:textId="77777777" w:rsidR="00694299" w:rsidRDefault="00694299" w:rsidP="00694299">
      <w:pPr>
        <w:pStyle w:val="Brdtekst"/>
        <w:ind w:left="332"/>
      </w:pPr>
    </w:p>
    <w:p w14:paraId="21C806E5" w14:textId="77777777" w:rsidR="00694299" w:rsidRDefault="00694299" w:rsidP="00694299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Tabel 6.1: Opsigelsesvarsler opdelt i forhold til paragrafområder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181"/>
        <w:gridCol w:w="3231"/>
      </w:tblGrid>
      <w:tr w:rsidR="00694299" w14:paraId="5C259108" w14:textId="77777777" w:rsidTr="00601BC3"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5044" w14:textId="77777777" w:rsidR="00694299" w:rsidRDefault="00694299" w:rsidP="00601BC3">
            <w:pPr>
              <w:spacing w:before="160" w:line="256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Lovgrundlag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08B6" w14:textId="77777777" w:rsidR="00694299" w:rsidRDefault="00694299" w:rsidP="00601BC3">
            <w:pPr>
              <w:spacing w:before="160" w:line="256" w:lineRule="auto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Opsigelsesfrister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F6F3" w14:textId="77777777" w:rsidR="00694299" w:rsidRDefault="00694299" w:rsidP="00601BC3">
            <w:pPr>
              <w:spacing w:before="160" w:line="256" w:lineRule="auto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Initiativtager</w:t>
            </w:r>
          </w:p>
        </w:tc>
      </w:tr>
      <w:tr w:rsidR="00694299" w14:paraId="2B09FDE4" w14:textId="77777777" w:rsidTr="00601BC3"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C80F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Botilbud: </w:t>
            </w:r>
          </w:p>
          <w:p w14:paraId="4BBCAD5B" w14:textId="77777777" w:rsidR="00694299" w:rsidRDefault="00694299" w:rsidP="00694299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cstheme="minorBidi"/>
                <w:sz w:val="20"/>
                <w:szCs w:val="20"/>
              </w:rPr>
            </w:pPr>
            <w:r w:rsidRPr="00EE3134">
              <w:rPr>
                <w:rFonts w:cstheme="minorBidi"/>
                <w:sz w:val="20"/>
                <w:szCs w:val="20"/>
              </w:rPr>
              <w:t xml:space="preserve">midlertidige botilbud efter SEL § 107, </w:t>
            </w:r>
          </w:p>
          <w:p w14:paraId="205367F5" w14:textId="77777777" w:rsidR="00694299" w:rsidRDefault="00694299" w:rsidP="00694299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cstheme="minorBidi"/>
                <w:sz w:val="20"/>
                <w:szCs w:val="20"/>
              </w:rPr>
            </w:pPr>
            <w:r w:rsidRPr="00EE3134">
              <w:rPr>
                <w:rFonts w:cstheme="minorBidi"/>
                <w:sz w:val="20"/>
                <w:szCs w:val="20"/>
              </w:rPr>
              <w:t>længerevarende botilbud efter SEL § 108</w:t>
            </w:r>
          </w:p>
          <w:p w14:paraId="3AC7EB0F" w14:textId="77777777" w:rsidR="00694299" w:rsidRDefault="00694299" w:rsidP="00694299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cstheme="minorBidi"/>
                <w:sz w:val="20"/>
                <w:szCs w:val="20"/>
              </w:rPr>
            </w:pPr>
            <w:r w:rsidRPr="00EE3134">
              <w:rPr>
                <w:rFonts w:cstheme="minorBidi"/>
                <w:sz w:val="20"/>
                <w:szCs w:val="20"/>
              </w:rPr>
              <w:t>boliger efter 105 stk. i lov om almene boliger</w:t>
            </w:r>
          </w:p>
          <w:p w14:paraId="22917C1D" w14:textId="77777777" w:rsidR="00694299" w:rsidRDefault="00694299" w:rsidP="00694299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cstheme="minorBidi"/>
                <w:sz w:val="20"/>
                <w:szCs w:val="20"/>
              </w:rPr>
            </w:pPr>
            <w:r w:rsidRPr="00EE3134">
              <w:rPr>
                <w:rFonts w:cstheme="minorBidi"/>
                <w:sz w:val="20"/>
                <w:szCs w:val="20"/>
              </w:rPr>
              <w:t>Opholdssteder for børn og unge efter SEL § 66 nr. 6</w:t>
            </w:r>
          </w:p>
          <w:p w14:paraId="425319F6" w14:textId="77777777" w:rsidR="00694299" w:rsidRPr="00D0003B" w:rsidRDefault="00694299" w:rsidP="00694299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Døgninstitution SEL § 66 nr. 7 (dog ikke sikrede døgninstitutioner)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B967" w14:textId="77777777" w:rsidR="00694299" w:rsidRPr="003F4ADB" w:rsidRDefault="00694299" w:rsidP="00601BC3">
            <w:pPr>
              <w:spacing w:line="256" w:lineRule="auto"/>
              <w:rPr>
                <w:sz w:val="20"/>
                <w:szCs w:val="20"/>
              </w:rPr>
            </w:pPr>
            <w:r w:rsidRPr="003F4ADB">
              <w:rPr>
                <w:rFonts w:cstheme="minorBidi"/>
                <w:sz w:val="20"/>
                <w:szCs w:val="20"/>
              </w:rPr>
              <w:t>Løbende måned + 1 måned.</w:t>
            </w:r>
          </w:p>
          <w:p w14:paraId="6E305F62" w14:textId="77777777" w:rsidR="00694299" w:rsidRPr="00EE3134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 w:rsidRPr="003F4ADB">
              <w:rPr>
                <w:rFonts w:cstheme="minorBidi"/>
                <w:sz w:val="20"/>
                <w:szCs w:val="20"/>
              </w:rPr>
              <w:t>2 måneder ved opsigelse en vilkårlig dag i måneden. Hvis f.eks. borger skal flytte ud pr. 14. marts, skal handlekommunen senest opsige borgeren den 14. januar. Der betales til og med den 14. marts.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30EE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Handlekommunen</w:t>
            </w:r>
          </w:p>
        </w:tc>
      </w:tr>
      <w:tr w:rsidR="00694299" w14:paraId="4F2DA1CB" w14:textId="77777777" w:rsidTr="00601BC3"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EF17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Dagtilbud:</w:t>
            </w:r>
          </w:p>
          <w:p w14:paraId="63AA2855" w14:textId="77777777" w:rsidR="00694299" w:rsidRDefault="00694299" w:rsidP="00694299">
            <w:pPr>
              <w:pStyle w:val="Listeafsnit"/>
              <w:numPr>
                <w:ilvl w:val="0"/>
                <w:numId w:val="2"/>
              </w:numPr>
              <w:spacing w:line="256" w:lineRule="auto"/>
              <w:ind w:left="426" w:hanging="426"/>
              <w:rPr>
                <w:rFonts w:cstheme="minorBidi"/>
                <w:sz w:val="20"/>
                <w:szCs w:val="20"/>
              </w:rPr>
            </w:pPr>
            <w:r w:rsidRPr="00387580">
              <w:rPr>
                <w:rFonts w:cstheme="minorBidi"/>
                <w:sz w:val="20"/>
                <w:szCs w:val="20"/>
              </w:rPr>
              <w:t>særlig</w:t>
            </w:r>
            <w:r>
              <w:rPr>
                <w:rFonts w:cstheme="minorBidi"/>
                <w:sz w:val="20"/>
                <w:szCs w:val="20"/>
              </w:rPr>
              <w:t xml:space="preserve">e dagtilbud efter SEL § 32 </w:t>
            </w:r>
            <w:r w:rsidRPr="00387580">
              <w:rPr>
                <w:rFonts w:cstheme="minorBidi"/>
                <w:sz w:val="20"/>
                <w:szCs w:val="20"/>
              </w:rPr>
              <w:t xml:space="preserve"> </w:t>
            </w:r>
          </w:p>
          <w:p w14:paraId="11DA4310" w14:textId="77777777" w:rsidR="00694299" w:rsidRDefault="00694299" w:rsidP="00694299">
            <w:pPr>
              <w:pStyle w:val="Listeafsnit"/>
              <w:numPr>
                <w:ilvl w:val="0"/>
                <w:numId w:val="2"/>
              </w:numPr>
              <w:spacing w:line="256" w:lineRule="auto"/>
              <w:ind w:left="426" w:hanging="426"/>
              <w:rPr>
                <w:rFonts w:cstheme="minorBidi"/>
                <w:sz w:val="20"/>
                <w:szCs w:val="20"/>
              </w:rPr>
            </w:pPr>
            <w:r w:rsidRPr="00387580">
              <w:rPr>
                <w:rFonts w:cstheme="minorBidi"/>
                <w:sz w:val="20"/>
                <w:szCs w:val="20"/>
              </w:rPr>
              <w:t xml:space="preserve">særlige klubtilbud efter SEL § 36  </w:t>
            </w:r>
          </w:p>
          <w:p w14:paraId="7D4B6BCA" w14:textId="77777777" w:rsidR="00694299" w:rsidRDefault="00694299" w:rsidP="00694299">
            <w:pPr>
              <w:pStyle w:val="Listeafsnit"/>
              <w:numPr>
                <w:ilvl w:val="0"/>
                <w:numId w:val="2"/>
              </w:numPr>
              <w:spacing w:line="256" w:lineRule="auto"/>
              <w:ind w:left="426" w:hanging="426"/>
              <w:rPr>
                <w:rFonts w:cstheme="minorBidi"/>
                <w:sz w:val="20"/>
                <w:szCs w:val="20"/>
              </w:rPr>
            </w:pPr>
            <w:r w:rsidRPr="00387580">
              <w:rPr>
                <w:rFonts w:cstheme="minorBidi"/>
                <w:sz w:val="20"/>
                <w:szCs w:val="20"/>
              </w:rPr>
              <w:t xml:space="preserve">beskyttet beskæftigelse efter SEL § 103  </w:t>
            </w:r>
          </w:p>
          <w:p w14:paraId="51732050" w14:textId="77777777" w:rsidR="00694299" w:rsidRDefault="00694299" w:rsidP="00694299">
            <w:pPr>
              <w:pStyle w:val="Listeafsnit"/>
              <w:numPr>
                <w:ilvl w:val="0"/>
                <w:numId w:val="2"/>
              </w:numPr>
              <w:spacing w:line="256" w:lineRule="auto"/>
              <w:ind w:left="426" w:hanging="426"/>
              <w:rPr>
                <w:rFonts w:cstheme="minorBidi"/>
                <w:sz w:val="20"/>
                <w:szCs w:val="20"/>
              </w:rPr>
            </w:pPr>
            <w:r w:rsidRPr="00387580">
              <w:rPr>
                <w:rFonts w:cstheme="minorBidi"/>
                <w:sz w:val="20"/>
                <w:szCs w:val="20"/>
              </w:rPr>
              <w:t xml:space="preserve">aktivitets- og samværstilbud efter SEL § 104 </w:t>
            </w:r>
          </w:p>
          <w:p w14:paraId="48AB87AF" w14:textId="77777777" w:rsidR="00694299" w:rsidRPr="00F94776" w:rsidRDefault="00694299" w:rsidP="00694299">
            <w:pPr>
              <w:pStyle w:val="Listeafsnit"/>
              <w:numPr>
                <w:ilvl w:val="0"/>
                <w:numId w:val="2"/>
              </w:numPr>
              <w:spacing w:line="256" w:lineRule="auto"/>
              <w:ind w:left="426" w:hanging="426"/>
              <w:rPr>
                <w:rFonts w:cstheme="minorBidi"/>
                <w:sz w:val="20"/>
                <w:szCs w:val="20"/>
              </w:rPr>
            </w:pPr>
            <w:r w:rsidRPr="00F94776">
              <w:rPr>
                <w:rFonts w:cstheme="minorBidi"/>
                <w:sz w:val="20"/>
                <w:szCs w:val="20"/>
              </w:rPr>
              <w:t>undervisning efter Folkeskoleloven § 20, stk. 2 om specialundervisning og anden specialpædagogisk bistand og</w:t>
            </w:r>
            <w:r>
              <w:rPr>
                <w:rFonts w:cstheme="minorBidi"/>
                <w:sz w:val="20"/>
                <w:szCs w:val="20"/>
              </w:rPr>
              <w:t xml:space="preserve"> </w:t>
            </w:r>
            <w:r w:rsidRPr="00F94776">
              <w:rPr>
                <w:rFonts w:cstheme="minorBidi"/>
                <w:sz w:val="20"/>
                <w:szCs w:val="20"/>
              </w:rPr>
              <w:t>stk.3 om regionsrådets lands- og landsdelsdækkende undervisningstilbud fo</w:t>
            </w:r>
            <w:r>
              <w:rPr>
                <w:rFonts w:cstheme="minorBidi"/>
                <w:sz w:val="20"/>
                <w:szCs w:val="20"/>
              </w:rPr>
              <w:t>r børn og unge under 18 år</w:t>
            </w:r>
          </w:p>
          <w:p w14:paraId="7781309E" w14:textId="77777777" w:rsidR="00694299" w:rsidRPr="00387580" w:rsidRDefault="00694299" w:rsidP="00694299">
            <w:pPr>
              <w:pStyle w:val="Listeafsnit"/>
              <w:numPr>
                <w:ilvl w:val="0"/>
                <w:numId w:val="2"/>
              </w:numPr>
              <w:spacing w:line="256" w:lineRule="auto"/>
              <w:ind w:left="426" w:hanging="426"/>
              <w:rPr>
                <w:rFonts w:cstheme="minorBidi"/>
                <w:sz w:val="20"/>
                <w:szCs w:val="20"/>
              </w:rPr>
            </w:pPr>
            <w:r w:rsidRPr="00387580">
              <w:rPr>
                <w:rFonts w:cstheme="minorBidi"/>
                <w:sz w:val="20"/>
                <w:szCs w:val="20"/>
              </w:rPr>
              <w:t>undervisning efter Lov om specialundervisn</w:t>
            </w:r>
            <w:r>
              <w:rPr>
                <w:rFonts w:cstheme="minorBidi"/>
                <w:sz w:val="20"/>
                <w:szCs w:val="20"/>
              </w:rPr>
              <w:t>ing for voksne § 1, stk. 2 og 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1AC1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Løbende måned. </w:t>
            </w:r>
          </w:p>
          <w:p w14:paraId="6D96339B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Specialundervisningstilbud i form af dagundervisning defineres også som dagtilbud.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A4D0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Handlekommunen</w:t>
            </w:r>
          </w:p>
        </w:tc>
      </w:tr>
      <w:tr w:rsidR="00694299" w14:paraId="0C05361E" w14:textId="77777777" w:rsidTr="00601BC3"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C79B" w14:textId="77777777" w:rsidR="00694299" w:rsidRPr="00A04555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Kvindekrisecentre efter SEL§ 109 og midlertidige sociale botilbud efter SEL § 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5D7F" w14:textId="77777777" w:rsidR="00694299" w:rsidRDefault="00694299" w:rsidP="00601B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Afregnes til og med udskrivningsdagen.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C953" w14:textId="77777777" w:rsidR="00694299" w:rsidRDefault="00694299" w:rsidP="00601BC3">
            <w:pPr>
              <w:spacing w:line="256" w:lineRule="auto"/>
              <w:rPr>
                <w:rFonts w:ascii="Calibri" w:hAnsi="Calibr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Tilbuddet udskriver</w:t>
            </w:r>
          </w:p>
        </w:tc>
      </w:tr>
      <w:tr w:rsidR="00694299" w14:paraId="299AAF8F" w14:textId="77777777" w:rsidTr="00601BC3"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E2E2" w14:textId="77777777" w:rsidR="00694299" w:rsidRPr="00A04555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Stofmisbrugsbehandling efter § 101: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C49B" w14:textId="77777777" w:rsidR="00694299" w:rsidRDefault="00694299" w:rsidP="00601B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Afregnes til og med udskrivningsdagen.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333D" w14:textId="77777777" w:rsidR="00694299" w:rsidRDefault="00694299" w:rsidP="00601BC3">
            <w:pPr>
              <w:spacing w:line="256" w:lineRule="auto"/>
              <w:rPr>
                <w:rFonts w:ascii="Calibri" w:hAnsi="Calibr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Tilbuddet/kommune udskriver</w:t>
            </w:r>
          </w:p>
        </w:tc>
      </w:tr>
      <w:tr w:rsidR="00694299" w14:paraId="1B280D91" w14:textId="77777777" w:rsidTr="00601BC3"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D94B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Sikret døgninstitution SEL § 66 nr. 7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CBA3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Betaling til og med sidste påbegyndte opholdsdag.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31AA" w14:textId="77777777" w:rsidR="00694299" w:rsidRDefault="00694299" w:rsidP="00601BC3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Tilbuddet/kommune udskriver</w:t>
            </w:r>
          </w:p>
        </w:tc>
      </w:tr>
    </w:tbl>
    <w:p w14:paraId="6A9D401A" w14:textId="77777777" w:rsidR="00694299" w:rsidRPr="006032CE" w:rsidRDefault="00694299" w:rsidP="00694299">
      <w:pPr>
        <w:tabs>
          <w:tab w:val="left" w:pos="1053"/>
        </w:tabs>
        <w:spacing w:before="1"/>
        <w:rPr>
          <w:sz w:val="28"/>
          <w:szCs w:val="28"/>
        </w:rPr>
      </w:pPr>
      <w:r w:rsidRPr="006032CE">
        <w:rPr>
          <w:sz w:val="28"/>
          <w:szCs w:val="28"/>
        </w:rPr>
        <w:t xml:space="preserve">Tabel </w:t>
      </w:r>
      <w:r>
        <w:rPr>
          <w:sz w:val="28"/>
          <w:szCs w:val="28"/>
        </w:rPr>
        <w:t>6.2</w:t>
      </w:r>
      <w:r w:rsidRPr="006032CE">
        <w:rPr>
          <w:sz w:val="28"/>
          <w:szCs w:val="28"/>
        </w:rPr>
        <w:t xml:space="preserve">: </w:t>
      </w:r>
      <w:r>
        <w:rPr>
          <w:sz w:val="28"/>
          <w:szCs w:val="28"/>
        </w:rPr>
        <w:t>G</w:t>
      </w:r>
      <w:r w:rsidRPr="006032CE">
        <w:rPr>
          <w:sz w:val="28"/>
          <w:szCs w:val="28"/>
        </w:rPr>
        <w:t>enerelle regler vedr. opsigelsesvarsler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91"/>
        <w:gridCol w:w="3182"/>
        <w:gridCol w:w="3155"/>
      </w:tblGrid>
      <w:tr w:rsidR="00694299" w:rsidRPr="00010297" w14:paraId="24FA1C7D" w14:textId="77777777" w:rsidTr="00601BC3">
        <w:tc>
          <w:tcPr>
            <w:tcW w:w="3456" w:type="dxa"/>
            <w:shd w:val="clear" w:color="auto" w:fill="92D050"/>
          </w:tcPr>
          <w:p w14:paraId="2DB109C7" w14:textId="77777777" w:rsidR="00694299" w:rsidRPr="00B355B0" w:rsidRDefault="00694299" w:rsidP="00601BC3">
            <w:pPr>
              <w:tabs>
                <w:tab w:val="left" w:pos="1053"/>
              </w:tabs>
              <w:spacing w:before="160"/>
              <w:rPr>
                <w:b/>
                <w:bCs/>
                <w:sz w:val="20"/>
                <w:szCs w:val="20"/>
              </w:rPr>
            </w:pPr>
            <w:proofErr w:type="spellStart"/>
            <w:r w:rsidRPr="00B355B0">
              <w:rPr>
                <w:b/>
                <w:bCs/>
                <w:sz w:val="20"/>
                <w:szCs w:val="20"/>
              </w:rPr>
              <w:t>Generelle</w:t>
            </w:r>
            <w:proofErr w:type="spellEnd"/>
            <w:r w:rsidRPr="00B355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55B0">
              <w:rPr>
                <w:b/>
                <w:bCs/>
                <w:sz w:val="20"/>
                <w:szCs w:val="20"/>
              </w:rPr>
              <w:t>regler</w:t>
            </w:r>
            <w:proofErr w:type="spellEnd"/>
          </w:p>
        </w:tc>
        <w:tc>
          <w:tcPr>
            <w:tcW w:w="3457" w:type="dxa"/>
            <w:shd w:val="clear" w:color="auto" w:fill="92D050"/>
          </w:tcPr>
          <w:p w14:paraId="7BD0D315" w14:textId="77777777" w:rsidR="00694299" w:rsidRPr="00B355B0" w:rsidRDefault="00694299" w:rsidP="00601BC3">
            <w:pPr>
              <w:tabs>
                <w:tab w:val="left" w:pos="1053"/>
              </w:tabs>
              <w:spacing w:before="160"/>
              <w:rPr>
                <w:b/>
                <w:bCs/>
                <w:sz w:val="20"/>
                <w:szCs w:val="20"/>
              </w:rPr>
            </w:pPr>
            <w:proofErr w:type="spellStart"/>
            <w:r w:rsidRPr="00B355B0">
              <w:rPr>
                <w:b/>
                <w:bCs/>
                <w:sz w:val="20"/>
                <w:szCs w:val="20"/>
              </w:rPr>
              <w:t>Opsigelsesfrister</w:t>
            </w:r>
            <w:proofErr w:type="spellEnd"/>
          </w:p>
        </w:tc>
        <w:tc>
          <w:tcPr>
            <w:tcW w:w="3457" w:type="dxa"/>
            <w:shd w:val="clear" w:color="auto" w:fill="92D050"/>
          </w:tcPr>
          <w:p w14:paraId="153ECAE3" w14:textId="77777777" w:rsidR="00694299" w:rsidRPr="00B355B0" w:rsidRDefault="00694299" w:rsidP="00601BC3">
            <w:pPr>
              <w:tabs>
                <w:tab w:val="left" w:pos="1053"/>
              </w:tabs>
              <w:spacing w:before="160"/>
              <w:rPr>
                <w:b/>
                <w:bCs/>
                <w:sz w:val="20"/>
                <w:szCs w:val="20"/>
              </w:rPr>
            </w:pPr>
            <w:proofErr w:type="spellStart"/>
            <w:r w:rsidRPr="00B355B0">
              <w:rPr>
                <w:b/>
                <w:bCs/>
                <w:sz w:val="20"/>
                <w:szCs w:val="20"/>
              </w:rPr>
              <w:t>Initiativtager</w:t>
            </w:r>
            <w:proofErr w:type="spellEnd"/>
          </w:p>
        </w:tc>
      </w:tr>
      <w:tr w:rsidR="00694299" w:rsidRPr="00010297" w14:paraId="20F00E00" w14:textId="77777777" w:rsidTr="00601BC3">
        <w:tc>
          <w:tcPr>
            <w:tcW w:w="3456" w:type="dxa"/>
          </w:tcPr>
          <w:p w14:paraId="2A23BFD4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 xml:space="preserve">Ved en takststruktur baseret på </w:t>
            </w:r>
            <w:r w:rsidRPr="00694299">
              <w:rPr>
                <w:sz w:val="20"/>
                <w:szCs w:val="20"/>
                <w:lang w:val="da-DK"/>
              </w:rPr>
              <w:lastRenderedPageBreak/>
              <w:t xml:space="preserve">ydelsespakker, er der ved pakkeskift med en marginal ændring fra én pakke til én over- eller underliggende pakke. </w:t>
            </w:r>
          </w:p>
        </w:tc>
        <w:tc>
          <w:tcPr>
            <w:tcW w:w="3457" w:type="dxa"/>
          </w:tcPr>
          <w:p w14:paraId="3882E861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r w:rsidRPr="00F17D75">
              <w:rPr>
                <w:sz w:val="20"/>
                <w:szCs w:val="20"/>
              </w:rPr>
              <w:lastRenderedPageBreak/>
              <w:t xml:space="preserve">30 </w:t>
            </w:r>
            <w:proofErr w:type="spellStart"/>
            <w:r w:rsidRPr="00F17D75">
              <w:rPr>
                <w:sz w:val="20"/>
                <w:szCs w:val="20"/>
              </w:rPr>
              <w:t>dage</w:t>
            </w:r>
            <w:proofErr w:type="spellEnd"/>
            <w:r w:rsidRPr="00F17D75">
              <w:rPr>
                <w:sz w:val="20"/>
                <w:szCs w:val="20"/>
              </w:rPr>
              <w:t xml:space="preserve"> </w:t>
            </w:r>
            <w:proofErr w:type="spellStart"/>
            <w:r w:rsidRPr="00F17D75">
              <w:rPr>
                <w:sz w:val="20"/>
                <w:szCs w:val="20"/>
              </w:rPr>
              <w:t>medmindre</w:t>
            </w:r>
            <w:proofErr w:type="spellEnd"/>
            <w:r w:rsidRPr="00F17D75">
              <w:rPr>
                <w:sz w:val="20"/>
                <w:szCs w:val="20"/>
              </w:rPr>
              <w:t xml:space="preserve"> </w:t>
            </w:r>
            <w:proofErr w:type="spellStart"/>
            <w:r w:rsidRPr="00F17D75">
              <w:rPr>
                <w:sz w:val="20"/>
                <w:szCs w:val="20"/>
              </w:rPr>
              <w:t>andet</w:t>
            </w:r>
            <w:proofErr w:type="spellEnd"/>
            <w:r w:rsidRPr="00F17D75">
              <w:rPr>
                <w:sz w:val="20"/>
                <w:szCs w:val="20"/>
              </w:rPr>
              <w:t xml:space="preserve"> </w:t>
            </w:r>
            <w:proofErr w:type="spellStart"/>
            <w:r w:rsidRPr="00F17D75">
              <w:rPr>
                <w:sz w:val="20"/>
                <w:szCs w:val="20"/>
              </w:rPr>
              <w:lastRenderedPageBreak/>
              <w:t>aftales</w:t>
            </w:r>
            <w:proofErr w:type="spellEnd"/>
            <w:r w:rsidRPr="00F17D75">
              <w:rPr>
                <w:sz w:val="20"/>
                <w:szCs w:val="20"/>
              </w:rPr>
              <w:t>.</w:t>
            </w:r>
          </w:p>
        </w:tc>
        <w:tc>
          <w:tcPr>
            <w:tcW w:w="3457" w:type="dxa"/>
          </w:tcPr>
          <w:p w14:paraId="1119AC34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lastRenderedPageBreak/>
              <w:t>Handlekommunen</w:t>
            </w:r>
            <w:proofErr w:type="spellEnd"/>
          </w:p>
        </w:tc>
      </w:tr>
      <w:tr w:rsidR="00694299" w:rsidRPr="00010297" w14:paraId="2AEDB2F9" w14:textId="77777777" w:rsidTr="00601BC3">
        <w:tc>
          <w:tcPr>
            <w:tcW w:w="3456" w:type="dxa"/>
          </w:tcPr>
          <w:p w14:paraId="3455D7F0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>Ved pakkeskift til mere end én over- eller underliggende pakke.</w:t>
            </w:r>
          </w:p>
          <w:p w14:paraId="5C49E608" w14:textId="77777777" w:rsidR="00694299" w:rsidRPr="00694299" w:rsidRDefault="00694299" w:rsidP="00601BC3">
            <w:pPr>
              <w:pStyle w:val="Overskrift1"/>
              <w:spacing w:before="160"/>
              <w:ind w:left="0"/>
              <w:outlineLvl w:val="0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457" w:type="dxa"/>
          </w:tcPr>
          <w:p w14:paraId="1A0AA490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>Botilbud: løbende måned + 1 måned.</w:t>
            </w:r>
          </w:p>
          <w:p w14:paraId="2557F21E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 xml:space="preserve">Dagtilbud: løbende måned. </w:t>
            </w:r>
          </w:p>
          <w:p w14:paraId="39F03F84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>Andre frister kan dog aftales.</w:t>
            </w:r>
          </w:p>
        </w:tc>
        <w:tc>
          <w:tcPr>
            <w:tcW w:w="3457" w:type="dxa"/>
          </w:tcPr>
          <w:p w14:paraId="50C183E4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Handlekommunen</w:t>
            </w:r>
            <w:proofErr w:type="spellEnd"/>
          </w:p>
        </w:tc>
      </w:tr>
      <w:tr w:rsidR="00694299" w:rsidRPr="00010297" w14:paraId="1B02CA85" w14:textId="77777777" w:rsidTr="00601BC3">
        <w:tc>
          <w:tcPr>
            <w:tcW w:w="3456" w:type="dxa"/>
          </w:tcPr>
          <w:p w14:paraId="7BF7B892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Særforanstaltning</w:t>
            </w:r>
            <w:proofErr w:type="spellEnd"/>
          </w:p>
          <w:p w14:paraId="6970A921" w14:textId="77777777" w:rsidR="00694299" w:rsidRPr="00F17D75" w:rsidRDefault="00694299" w:rsidP="00601BC3">
            <w:pPr>
              <w:rPr>
                <w:sz w:val="20"/>
                <w:szCs w:val="20"/>
              </w:rPr>
            </w:pPr>
          </w:p>
          <w:p w14:paraId="22154D01" w14:textId="77777777" w:rsidR="00694299" w:rsidRPr="00F17D75" w:rsidRDefault="00694299" w:rsidP="00601BC3">
            <w:pPr>
              <w:rPr>
                <w:sz w:val="20"/>
                <w:szCs w:val="20"/>
              </w:rPr>
            </w:pPr>
          </w:p>
          <w:p w14:paraId="2637D610" w14:textId="77777777" w:rsidR="00694299" w:rsidRPr="00F17D75" w:rsidRDefault="00694299" w:rsidP="00601BC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14:paraId="471BEE37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>Løbende måned plus en måned. Der kan dog aftales et længere opsigelsesvarsel mellem udbyder og handlekommune.</w:t>
            </w:r>
          </w:p>
        </w:tc>
        <w:tc>
          <w:tcPr>
            <w:tcW w:w="3457" w:type="dxa"/>
          </w:tcPr>
          <w:p w14:paraId="158E9BFC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Handlekommunen</w:t>
            </w:r>
            <w:proofErr w:type="spellEnd"/>
          </w:p>
        </w:tc>
      </w:tr>
      <w:tr w:rsidR="00694299" w:rsidRPr="00010297" w14:paraId="2CB6DDBD" w14:textId="77777777" w:rsidTr="00601BC3">
        <w:tc>
          <w:tcPr>
            <w:tcW w:w="3456" w:type="dxa"/>
          </w:tcPr>
          <w:p w14:paraId="55201E17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Enkeltmandsforanstaltning</w:t>
            </w:r>
            <w:proofErr w:type="spellEnd"/>
          </w:p>
        </w:tc>
        <w:tc>
          <w:tcPr>
            <w:tcW w:w="3457" w:type="dxa"/>
          </w:tcPr>
          <w:p w14:paraId="4C2F4706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>Opsigelsesvarsel aftales mellem leverandør og handlekommune.</w:t>
            </w:r>
          </w:p>
        </w:tc>
        <w:tc>
          <w:tcPr>
            <w:tcW w:w="3457" w:type="dxa"/>
          </w:tcPr>
          <w:p w14:paraId="4CC495E2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Handlekommune</w:t>
            </w:r>
            <w:proofErr w:type="spellEnd"/>
          </w:p>
        </w:tc>
      </w:tr>
      <w:tr w:rsidR="00694299" w:rsidRPr="00010297" w14:paraId="09BD19F1" w14:textId="77777777" w:rsidTr="00601BC3">
        <w:tc>
          <w:tcPr>
            <w:tcW w:w="3456" w:type="dxa"/>
          </w:tcPr>
          <w:p w14:paraId="7E655EF1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Lukning</w:t>
            </w:r>
            <w:proofErr w:type="spellEnd"/>
            <w:r w:rsidRPr="00F17D75">
              <w:rPr>
                <w:sz w:val="20"/>
                <w:szCs w:val="20"/>
              </w:rPr>
              <w:t xml:space="preserve"> </w:t>
            </w:r>
            <w:proofErr w:type="spellStart"/>
            <w:r w:rsidRPr="00F17D75">
              <w:rPr>
                <w:sz w:val="20"/>
                <w:szCs w:val="20"/>
              </w:rPr>
              <w:t>af</w:t>
            </w:r>
            <w:proofErr w:type="spellEnd"/>
            <w:r w:rsidRPr="00F17D75">
              <w:rPr>
                <w:sz w:val="20"/>
                <w:szCs w:val="20"/>
              </w:rPr>
              <w:t xml:space="preserve"> </w:t>
            </w:r>
            <w:proofErr w:type="spellStart"/>
            <w:r w:rsidRPr="00F17D75">
              <w:rPr>
                <w:sz w:val="20"/>
                <w:szCs w:val="20"/>
              </w:rPr>
              <w:t>tilbud</w:t>
            </w:r>
            <w:proofErr w:type="spellEnd"/>
          </w:p>
        </w:tc>
        <w:tc>
          <w:tcPr>
            <w:tcW w:w="3457" w:type="dxa"/>
          </w:tcPr>
          <w:p w14:paraId="11F8481A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r w:rsidRPr="00694299">
              <w:rPr>
                <w:sz w:val="20"/>
                <w:szCs w:val="20"/>
                <w:lang w:val="da-DK"/>
              </w:rPr>
              <w:t xml:space="preserve">Udbyder meddeler handlekommunerne når tilbuddet besluttes lukket. </w:t>
            </w:r>
            <w:r w:rsidRPr="00F17D75">
              <w:rPr>
                <w:sz w:val="20"/>
                <w:szCs w:val="20"/>
              </w:rPr>
              <w:t xml:space="preserve">Dog </w:t>
            </w:r>
            <w:proofErr w:type="spellStart"/>
            <w:r w:rsidRPr="00F17D75">
              <w:rPr>
                <w:sz w:val="20"/>
                <w:szCs w:val="20"/>
              </w:rPr>
              <w:t>gælder</w:t>
            </w:r>
            <w:proofErr w:type="spellEnd"/>
            <w:r w:rsidRPr="00F17D7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F17D75">
              <w:rPr>
                <w:sz w:val="20"/>
                <w:szCs w:val="20"/>
              </w:rPr>
              <w:t>øbende</w:t>
            </w:r>
            <w:proofErr w:type="spellEnd"/>
            <w:r w:rsidRPr="00F17D75">
              <w:rPr>
                <w:sz w:val="20"/>
                <w:szCs w:val="20"/>
              </w:rPr>
              <w:t xml:space="preserve"> </w:t>
            </w:r>
            <w:proofErr w:type="spellStart"/>
            <w:r w:rsidRPr="00F17D75">
              <w:rPr>
                <w:sz w:val="20"/>
                <w:szCs w:val="20"/>
              </w:rPr>
              <w:t>måned</w:t>
            </w:r>
            <w:proofErr w:type="spellEnd"/>
            <w:r w:rsidRPr="00F17D75">
              <w:rPr>
                <w:sz w:val="20"/>
                <w:szCs w:val="20"/>
              </w:rPr>
              <w:t xml:space="preserve"> plus to </w:t>
            </w:r>
            <w:proofErr w:type="spellStart"/>
            <w:r w:rsidRPr="00F17D75">
              <w:rPr>
                <w:sz w:val="20"/>
                <w:szCs w:val="20"/>
              </w:rPr>
              <w:t>måneder</w:t>
            </w:r>
            <w:proofErr w:type="spellEnd"/>
            <w:r w:rsidRPr="00F17D7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57" w:type="dxa"/>
          </w:tcPr>
          <w:p w14:paraId="7CF2CD5B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Udbyder</w:t>
            </w:r>
            <w:proofErr w:type="spellEnd"/>
          </w:p>
        </w:tc>
      </w:tr>
      <w:tr w:rsidR="00694299" w:rsidRPr="00010297" w14:paraId="4E7D41F5" w14:textId="77777777" w:rsidTr="00601BC3">
        <w:tc>
          <w:tcPr>
            <w:tcW w:w="3456" w:type="dxa"/>
          </w:tcPr>
          <w:p w14:paraId="3698EC06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>Uenighed mellem udbyder og handlekommune om revisitering*</w:t>
            </w:r>
          </w:p>
        </w:tc>
        <w:tc>
          <w:tcPr>
            <w:tcW w:w="3457" w:type="dxa"/>
          </w:tcPr>
          <w:p w14:paraId="23A361DF" w14:textId="77777777" w:rsidR="00694299" w:rsidRPr="00694299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  <w:lang w:val="da-DK"/>
              </w:rPr>
            </w:pPr>
            <w:r w:rsidRPr="00694299">
              <w:rPr>
                <w:sz w:val="20"/>
                <w:szCs w:val="20"/>
                <w:lang w:val="da-DK"/>
              </w:rPr>
              <w:t>Løbende måned plus to måneder.</w:t>
            </w:r>
          </w:p>
        </w:tc>
        <w:tc>
          <w:tcPr>
            <w:tcW w:w="3457" w:type="dxa"/>
          </w:tcPr>
          <w:p w14:paraId="4DEE6A9F" w14:textId="77777777" w:rsidR="00694299" w:rsidRPr="00F17D75" w:rsidRDefault="00694299" w:rsidP="00601BC3">
            <w:pPr>
              <w:tabs>
                <w:tab w:val="left" w:pos="1053"/>
              </w:tabs>
              <w:spacing w:before="160"/>
              <w:rPr>
                <w:sz w:val="20"/>
                <w:szCs w:val="20"/>
              </w:rPr>
            </w:pPr>
            <w:proofErr w:type="spellStart"/>
            <w:r w:rsidRPr="00F17D75">
              <w:rPr>
                <w:sz w:val="20"/>
                <w:szCs w:val="20"/>
              </w:rPr>
              <w:t>Udbyder</w:t>
            </w:r>
            <w:proofErr w:type="spellEnd"/>
          </w:p>
        </w:tc>
      </w:tr>
    </w:tbl>
    <w:p w14:paraId="365838EF" w14:textId="77777777" w:rsidR="00694299" w:rsidRPr="00C84626" w:rsidRDefault="00694299" w:rsidP="00694299">
      <w:pPr>
        <w:tabs>
          <w:tab w:val="left" w:pos="1053"/>
        </w:tabs>
        <w:spacing w:before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F17D75">
        <w:rPr>
          <w:sz w:val="18"/>
          <w:szCs w:val="18"/>
        </w:rPr>
        <w:t xml:space="preserve">Det tilstræbes, at der opnås enighed mellem udbyder og handlekommune om </w:t>
      </w:r>
      <w:proofErr w:type="spellStart"/>
      <w:r w:rsidRPr="00F17D75">
        <w:rPr>
          <w:sz w:val="18"/>
          <w:szCs w:val="18"/>
        </w:rPr>
        <w:t>revisitation</w:t>
      </w:r>
      <w:proofErr w:type="spellEnd"/>
      <w:r w:rsidRPr="00F17D75">
        <w:rPr>
          <w:sz w:val="18"/>
          <w:szCs w:val="18"/>
        </w:rPr>
        <w:t xml:space="preserve"> af en borger, som følge af ændret behov for støtte. Såfremt det viser sig ikke at være muligt, gælder dette opsigelsesvarsel.</w:t>
      </w:r>
      <w:r w:rsidRPr="00F17D75">
        <w:rPr>
          <w:spacing w:val="-20"/>
          <w:sz w:val="18"/>
          <w:szCs w:val="18"/>
        </w:rPr>
        <w:t xml:space="preserve"> </w:t>
      </w:r>
      <w:r w:rsidRPr="00F17D75">
        <w:rPr>
          <w:sz w:val="18"/>
          <w:szCs w:val="18"/>
        </w:rPr>
        <w:t>Der kan dog være tilfælde, hvor en sådan opsigelse ikke er mulig. Eksempelvis har lejere i almene ældre- og handicapboliger samme beskyttelse mod opsigelse, som gælder for alle øvrige lejere af almene boliger.</w:t>
      </w:r>
    </w:p>
    <w:p w14:paraId="718CF5FF" w14:textId="77777777" w:rsidR="00694299" w:rsidRPr="00153C96" w:rsidRDefault="00694299" w:rsidP="00694299">
      <w:pPr>
        <w:pStyle w:val="Brdtekst"/>
      </w:pPr>
    </w:p>
    <w:p w14:paraId="47C63B49" w14:textId="77777777" w:rsidR="00694299" w:rsidRPr="00A309E6" w:rsidRDefault="00694299" w:rsidP="00694299">
      <w:pPr>
        <w:pStyle w:val="Brdtekst"/>
      </w:pPr>
      <w:r w:rsidRPr="00A309E6">
        <w:t>Der skal varsles skriftligt</w:t>
      </w:r>
      <w:r>
        <w:t>, og d</w:t>
      </w:r>
      <w:r w:rsidRPr="00A309E6">
        <w:t>er kan kun opkræves betaling indtil pladsen overtages af en ny borger.</w:t>
      </w:r>
    </w:p>
    <w:p w14:paraId="1ADD3EE8" w14:textId="77777777" w:rsidR="00694299" w:rsidRPr="00153C96" w:rsidRDefault="00694299" w:rsidP="00694299">
      <w:pPr>
        <w:pStyle w:val="Brdtekst"/>
      </w:pPr>
    </w:p>
    <w:p w14:paraId="34C30686" w14:textId="77777777" w:rsidR="00694299" w:rsidRPr="00A309E6" w:rsidRDefault="00694299" w:rsidP="00694299">
      <w:pPr>
        <w:pStyle w:val="Brdtekst"/>
      </w:pPr>
      <w:r w:rsidRPr="00A309E6">
        <w:t>Ved ophør i tilbud som følge af dødsfald gælder ovennævnte opsigelsesregler også.</w:t>
      </w:r>
    </w:p>
    <w:p w14:paraId="32721791" w14:textId="77777777" w:rsidR="000D5A9B" w:rsidRPr="000D5A9B" w:rsidRDefault="000D5A9B">
      <w:pPr>
        <w:rPr>
          <w:rFonts w:ascii="Verdana" w:hAnsi="Verdana"/>
          <w:sz w:val="20"/>
          <w:szCs w:val="20"/>
        </w:rPr>
      </w:pPr>
    </w:p>
    <w:sectPr w:rsidR="000D5A9B" w:rsidRPr="000D5A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1FD0"/>
    <w:multiLevelType w:val="hybridMultilevel"/>
    <w:tmpl w:val="66E25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92B"/>
    <w:multiLevelType w:val="hybridMultilevel"/>
    <w:tmpl w:val="526667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9"/>
    <w:rsid w:val="000D5A9B"/>
    <w:rsid w:val="006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A165"/>
  <w15:chartTrackingRefBased/>
  <w15:docId w15:val="{AC7B60EE-2719-4A74-B009-8CDA5776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9"/>
    <w:qFormat/>
    <w:rsid w:val="00694299"/>
    <w:pPr>
      <w:ind w:left="332"/>
      <w:outlineLvl w:val="0"/>
    </w:pPr>
    <w:rPr>
      <w:rFonts w:ascii="Cambria" w:eastAsia="Cambria" w:hAnsi="Cambria" w:cs="Cambri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4299"/>
    <w:rPr>
      <w:rFonts w:ascii="Cambria" w:eastAsia="Cambria" w:hAnsi="Cambria" w:cs="Cambria"/>
      <w:sz w:val="36"/>
      <w:szCs w:val="36"/>
    </w:rPr>
  </w:style>
  <w:style w:type="paragraph" w:styleId="Brdtekst">
    <w:name w:val="Body Text"/>
    <w:basedOn w:val="Normal"/>
    <w:link w:val="BrdtekstTegn"/>
    <w:uiPriority w:val="1"/>
    <w:qFormat/>
    <w:rsid w:val="00694299"/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694299"/>
    <w:rPr>
      <w:rFonts w:ascii="Arial" w:eastAsia="Arial" w:hAnsi="Arial" w:cs="Arial"/>
      <w:sz w:val="21"/>
      <w:szCs w:val="21"/>
    </w:rPr>
  </w:style>
  <w:style w:type="paragraph" w:styleId="Listeafsnit">
    <w:name w:val="List Paragraph"/>
    <w:basedOn w:val="Normal"/>
    <w:uiPriority w:val="34"/>
    <w:qFormat/>
    <w:rsid w:val="00694299"/>
    <w:pPr>
      <w:ind w:left="1052" w:hanging="361"/>
    </w:pPr>
  </w:style>
  <w:style w:type="table" w:styleId="Tabel-Gitter">
    <w:name w:val="Table Grid"/>
    <w:basedOn w:val="Tabel-Normal"/>
    <w:uiPriority w:val="59"/>
    <w:rsid w:val="0069429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2791</Characters>
  <Application>Microsoft Office Word</Application>
  <DocSecurity>0</DocSecurity>
  <Lines>23</Lines>
  <Paragraphs>6</Paragraphs>
  <ScaleCrop>false</ScaleCrop>
  <Company>Middelfart Kommune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1</cp:revision>
  <dcterms:created xsi:type="dcterms:W3CDTF">2022-12-19T08:30:00Z</dcterms:created>
  <dcterms:modified xsi:type="dcterms:W3CDTF">2022-12-19T08:34:00Z</dcterms:modified>
</cp:coreProperties>
</file>