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64F4" w14:textId="77777777" w:rsidR="00CD6ED8" w:rsidRPr="00B355B0" w:rsidRDefault="00CD6ED8" w:rsidP="00CD6ED8">
      <w:pPr>
        <w:pStyle w:val="Overskrift1"/>
        <w:ind w:left="0"/>
        <w:rPr>
          <w:color w:val="C45911" w:themeColor="accent2" w:themeShade="BF"/>
        </w:rPr>
      </w:pPr>
      <w:bookmarkStart w:id="0" w:name="_Toc25737736"/>
      <w:bookmarkStart w:id="1" w:name="_Toc104897247"/>
      <w:r w:rsidRPr="00B355B0">
        <w:rPr>
          <w:color w:val="C45911" w:themeColor="accent2" w:themeShade="BF"/>
        </w:rPr>
        <w:t>Bilag 8: Takststruktur</w:t>
      </w:r>
      <w:bookmarkEnd w:id="0"/>
      <w:bookmarkEnd w:id="1"/>
    </w:p>
    <w:p w14:paraId="0A868AEF" w14:textId="77777777" w:rsidR="00CD6ED8" w:rsidRPr="00A309E6" w:rsidRDefault="00CD6ED8" w:rsidP="00CD6ED8">
      <w:pPr>
        <w:pStyle w:val="Brdtekst"/>
        <w:spacing w:before="10"/>
        <w:rPr>
          <w:rFonts w:ascii="Cambria"/>
          <w:sz w:val="33"/>
        </w:rPr>
      </w:pPr>
    </w:p>
    <w:p w14:paraId="668C9F54" w14:textId="77777777" w:rsidR="00CD6ED8" w:rsidRPr="00A75EEB" w:rsidRDefault="00CD6ED8" w:rsidP="00CD6ED8">
      <w:pPr>
        <w:pStyle w:val="Brdtekst"/>
      </w:pPr>
      <w:r w:rsidRPr="00A75EEB">
        <w:t xml:space="preserve">Under </w:t>
      </w:r>
      <w:r w:rsidRPr="754EECF7">
        <w:t>Rammeaftalen</w:t>
      </w:r>
      <w:r w:rsidRPr="00A75EEB">
        <w:t xml:space="preserve"> kan der anvendes tre modeller for fastsættelse af takster:</w:t>
      </w:r>
    </w:p>
    <w:p w14:paraId="3BC955AC" w14:textId="77777777" w:rsidR="00CD6ED8" w:rsidRPr="00A75EEB" w:rsidRDefault="00CD6ED8" w:rsidP="00CD6ED8">
      <w:pPr>
        <w:pStyle w:val="Listeafsnit"/>
        <w:numPr>
          <w:ilvl w:val="0"/>
          <w:numId w:val="2"/>
        </w:numPr>
        <w:tabs>
          <w:tab w:val="left" w:pos="1052"/>
          <w:tab w:val="left" w:pos="1053"/>
        </w:tabs>
        <w:spacing w:before="160"/>
        <w:rPr>
          <w:sz w:val="21"/>
          <w:szCs w:val="21"/>
        </w:rPr>
      </w:pPr>
      <w:r w:rsidRPr="00A75EEB">
        <w:rPr>
          <w:sz w:val="21"/>
          <w:szCs w:val="21"/>
        </w:rPr>
        <w:t>Takststruktur, der bygger på takster, som er gennemsnitlige og rummelige, men med mulighed for</w:t>
      </w:r>
      <w:r w:rsidRPr="00A75EEB">
        <w:rPr>
          <w:spacing w:val="-4"/>
          <w:sz w:val="21"/>
          <w:szCs w:val="21"/>
        </w:rPr>
        <w:t xml:space="preserve"> </w:t>
      </w:r>
      <w:r w:rsidRPr="00A75EEB">
        <w:rPr>
          <w:sz w:val="21"/>
          <w:szCs w:val="21"/>
        </w:rPr>
        <w:t>differentiering.</w:t>
      </w:r>
    </w:p>
    <w:p w14:paraId="35E88080" w14:textId="77777777" w:rsidR="00CD6ED8" w:rsidRPr="00A75EEB" w:rsidRDefault="00CD6ED8" w:rsidP="00CD6ED8">
      <w:pPr>
        <w:pStyle w:val="Listeafsnit"/>
        <w:numPr>
          <w:ilvl w:val="0"/>
          <w:numId w:val="2"/>
        </w:numPr>
        <w:tabs>
          <w:tab w:val="left" w:pos="1052"/>
          <w:tab w:val="left" w:pos="1053"/>
        </w:tabs>
        <w:spacing w:line="256" w:lineRule="exact"/>
        <w:rPr>
          <w:sz w:val="21"/>
          <w:szCs w:val="21"/>
        </w:rPr>
      </w:pPr>
      <w:r w:rsidRPr="00A75EEB">
        <w:rPr>
          <w:sz w:val="21"/>
          <w:szCs w:val="21"/>
        </w:rPr>
        <w:t>Takststruktur, der er baseret på</w:t>
      </w:r>
      <w:r w:rsidRPr="00A75EEB">
        <w:rPr>
          <w:spacing w:val="-11"/>
          <w:sz w:val="21"/>
          <w:szCs w:val="21"/>
        </w:rPr>
        <w:t xml:space="preserve"> </w:t>
      </w:r>
      <w:r w:rsidRPr="00A75EEB">
        <w:rPr>
          <w:sz w:val="21"/>
          <w:szCs w:val="21"/>
        </w:rPr>
        <w:t>ydelsespakker.</w:t>
      </w:r>
    </w:p>
    <w:p w14:paraId="3396803F" w14:textId="77777777" w:rsidR="00CD6ED8" w:rsidRPr="00A75EEB" w:rsidRDefault="00CD6ED8" w:rsidP="00CD6ED8">
      <w:pPr>
        <w:pStyle w:val="Listeafsnit"/>
        <w:numPr>
          <w:ilvl w:val="0"/>
          <w:numId w:val="2"/>
        </w:numPr>
        <w:tabs>
          <w:tab w:val="left" w:pos="1052"/>
          <w:tab w:val="left" w:pos="1053"/>
        </w:tabs>
        <w:spacing w:line="256" w:lineRule="exact"/>
        <w:rPr>
          <w:sz w:val="21"/>
          <w:szCs w:val="21"/>
        </w:rPr>
      </w:pPr>
      <w:r w:rsidRPr="00A75EEB">
        <w:rPr>
          <w:sz w:val="21"/>
          <w:szCs w:val="21"/>
        </w:rPr>
        <w:t>Aftaler herunder abonnementsordning</w:t>
      </w:r>
      <w:r w:rsidRPr="00A75EEB">
        <w:rPr>
          <w:rStyle w:val="Fodnotehenvisning"/>
          <w:sz w:val="21"/>
          <w:szCs w:val="21"/>
        </w:rPr>
        <w:footnoteReference w:id="1"/>
      </w:r>
      <w:r w:rsidRPr="00A75EEB">
        <w:rPr>
          <w:sz w:val="21"/>
          <w:szCs w:val="21"/>
        </w:rPr>
        <w:t>, forpligtende købsaftaler og delt finansieringsansvar</w:t>
      </w:r>
      <w:r>
        <w:rPr>
          <w:sz w:val="21"/>
          <w:szCs w:val="21"/>
        </w:rPr>
        <w:t>.</w:t>
      </w:r>
    </w:p>
    <w:p w14:paraId="2FC2D13F" w14:textId="77777777" w:rsidR="00CD6ED8" w:rsidRPr="00A75EEB" w:rsidRDefault="00CD6ED8" w:rsidP="00CD6ED8">
      <w:pPr>
        <w:pStyle w:val="Listeafsnit"/>
        <w:tabs>
          <w:tab w:val="left" w:pos="1052"/>
          <w:tab w:val="left" w:pos="1053"/>
        </w:tabs>
        <w:spacing w:line="241" w:lineRule="exact"/>
        <w:ind w:left="332" w:firstLine="0"/>
        <w:rPr>
          <w:sz w:val="21"/>
          <w:szCs w:val="21"/>
        </w:rPr>
      </w:pPr>
    </w:p>
    <w:p w14:paraId="5FE227FD" w14:textId="77777777" w:rsidR="00CD6ED8" w:rsidRPr="00A75EEB" w:rsidRDefault="00CD6ED8" w:rsidP="00CD6ED8">
      <w:pPr>
        <w:tabs>
          <w:tab w:val="left" w:pos="1052"/>
          <w:tab w:val="left" w:pos="1053"/>
        </w:tabs>
        <w:spacing w:line="241" w:lineRule="exact"/>
        <w:rPr>
          <w:sz w:val="21"/>
          <w:szCs w:val="21"/>
        </w:rPr>
      </w:pPr>
      <w:r w:rsidRPr="00A75EEB">
        <w:rPr>
          <w:sz w:val="21"/>
          <w:szCs w:val="21"/>
        </w:rPr>
        <w:t>Uanset takststruktur gælder følgende principper:</w:t>
      </w:r>
    </w:p>
    <w:p w14:paraId="02250768" w14:textId="77777777" w:rsidR="00CD6ED8" w:rsidRPr="00A75EEB" w:rsidRDefault="00CD6ED8" w:rsidP="00CD6ED8">
      <w:pPr>
        <w:pStyle w:val="Listeafsnit"/>
        <w:tabs>
          <w:tab w:val="left" w:pos="1052"/>
          <w:tab w:val="left" w:pos="1053"/>
        </w:tabs>
        <w:spacing w:line="241" w:lineRule="exact"/>
        <w:ind w:left="332" w:firstLine="0"/>
        <w:rPr>
          <w:sz w:val="21"/>
          <w:szCs w:val="21"/>
        </w:rPr>
      </w:pPr>
    </w:p>
    <w:p w14:paraId="6199C2DF" w14:textId="77777777" w:rsidR="00CD6ED8" w:rsidRPr="00A75EEB" w:rsidRDefault="00CD6ED8" w:rsidP="00CD6ED8">
      <w:pPr>
        <w:pStyle w:val="Listeafsnit"/>
        <w:numPr>
          <w:ilvl w:val="0"/>
          <w:numId w:val="3"/>
        </w:numPr>
        <w:tabs>
          <w:tab w:val="left" w:pos="1052"/>
          <w:tab w:val="left" w:pos="1053"/>
        </w:tabs>
        <w:spacing w:line="241" w:lineRule="exact"/>
        <w:ind w:left="360"/>
        <w:rPr>
          <w:sz w:val="21"/>
          <w:szCs w:val="21"/>
        </w:rPr>
      </w:pPr>
      <w:r w:rsidRPr="00A75EEB">
        <w:rPr>
          <w:sz w:val="21"/>
          <w:szCs w:val="21"/>
        </w:rPr>
        <w:t>Ændring i taksten enten ved ændring i ydelsespakke eller i særforanstaltning forudsætter, at der er enighed mellem handlekommune og udbyder (</w:t>
      </w:r>
      <w:proofErr w:type="spellStart"/>
      <w:r w:rsidRPr="00A75EEB">
        <w:rPr>
          <w:sz w:val="21"/>
          <w:szCs w:val="21"/>
        </w:rPr>
        <w:t>omvisitering</w:t>
      </w:r>
      <w:proofErr w:type="spellEnd"/>
      <w:r w:rsidRPr="00A75EEB">
        <w:rPr>
          <w:sz w:val="21"/>
          <w:szCs w:val="21"/>
        </w:rPr>
        <w:t>), hvis borgeren skal indplaceres i en anden takstgruppe end den, borgeren oprindeligt er indplaceret i</w:t>
      </w:r>
    </w:p>
    <w:p w14:paraId="62D5D7A7" w14:textId="77777777" w:rsidR="00CD6ED8" w:rsidRPr="00A75EEB" w:rsidRDefault="00CD6ED8" w:rsidP="00CD6ED8">
      <w:pPr>
        <w:pStyle w:val="Listeafsnit"/>
        <w:numPr>
          <w:ilvl w:val="0"/>
          <w:numId w:val="3"/>
        </w:numPr>
        <w:tabs>
          <w:tab w:val="left" w:pos="1052"/>
          <w:tab w:val="left" w:pos="1053"/>
        </w:tabs>
        <w:spacing w:line="241" w:lineRule="exact"/>
        <w:ind w:left="360"/>
        <w:rPr>
          <w:sz w:val="21"/>
          <w:szCs w:val="21"/>
        </w:rPr>
      </w:pPr>
      <w:r w:rsidRPr="00A75EEB">
        <w:rPr>
          <w:sz w:val="21"/>
          <w:szCs w:val="21"/>
        </w:rPr>
        <w:t>Principperne for efterregulering er de samme uanset takststruktur</w:t>
      </w:r>
    </w:p>
    <w:p w14:paraId="40BF0F10" w14:textId="77777777" w:rsidR="00CD6ED8" w:rsidRPr="00A75EEB" w:rsidRDefault="00CD6ED8" w:rsidP="00CD6ED8">
      <w:pPr>
        <w:tabs>
          <w:tab w:val="left" w:pos="1052"/>
          <w:tab w:val="left" w:pos="1053"/>
        </w:tabs>
        <w:spacing w:line="241" w:lineRule="exact"/>
        <w:rPr>
          <w:sz w:val="21"/>
          <w:szCs w:val="21"/>
        </w:rPr>
      </w:pPr>
    </w:p>
    <w:p w14:paraId="7CB1BA24" w14:textId="77777777" w:rsidR="00CD6ED8" w:rsidRPr="00A75EEB" w:rsidRDefault="00CD6ED8" w:rsidP="00CD6ED8">
      <w:pPr>
        <w:tabs>
          <w:tab w:val="left" w:pos="1052"/>
          <w:tab w:val="left" w:pos="1053"/>
        </w:tabs>
        <w:spacing w:line="241" w:lineRule="exact"/>
        <w:rPr>
          <w:sz w:val="21"/>
          <w:szCs w:val="21"/>
        </w:rPr>
      </w:pPr>
      <w:r w:rsidRPr="00A75EEB">
        <w:rPr>
          <w:sz w:val="21"/>
          <w:szCs w:val="21"/>
        </w:rPr>
        <w:t>Ved ændring i takststrukturen gælder følgende principper:</w:t>
      </w:r>
    </w:p>
    <w:p w14:paraId="493EF568" w14:textId="77777777" w:rsidR="00CD6ED8" w:rsidRPr="00A75EEB" w:rsidRDefault="00CD6ED8" w:rsidP="00CD6ED8">
      <w:pPr>
        <w:tabs>
          <w:tab w:val="left" w:pos="1052"/>
          <w:tab w:val="left" w:pos="1053"/>
        </w:tabs>
        <w:spacing w:line="241" w:lineRule="exact"/>
        <w:rPr>
          <w:sz w:val="21"/>
          <w:szCs w:val="21"/>
        </w:rPr>
      </w:pPr>
    </w:p>
    <w:p w14:paraId="0F597A37" w14:textId="77777777" w:rsidR="00CD6ED8" w:rsidRPr="00A75EEB" w:rsidRDefault="00CD6ED8" w:rsidP="00CD6ED8">
      <w:pPr>
        <w:pStyle w:val="Brdtekst"/>
        <w:numPr>
          <w:ilvl w:val="0"/>
          <w:numId w:val="1"/>
        </w:numPr>
        <w:ind w:left="360"/>
      </w:pPr>
      <w:r w:rsidRPr="00A75EEB">
        <w:t xml:space="preserve">Ved ændring i takststruktur hvad enten det er fra de traditionelle takstberegningssystemer til et nyt baseret på ydelsespakker eller omvendt, forudsættes det, at de samlede driftsomkostninger (takstgrundlaget) ikke øges (under forudsætning af uændret støtte- og plejebehov). </w:t>
      </w:r>
    </w:p>
    <w:p w14:paraId="76B244E0" w14:textId="77777777" w:rsidR="00CD6ED8" w:rsidRPr="00A75EEB" w:rsidRDefault="00CD6ED8" w:rsidP="00CD6ED8">
      <w:pPr>
        <w:pStyle w:val="Brdtekst"/>
        <w:numPr>
          <w:ilvl w:val="0"/>
          <w:numId w:val="1"/>
        </w:numPr>
        <w:ind w:left="360"/>
      </w:pPr>
      <w:r w:rsidRPr="00A75EEB">
        <w:t>Implementering af ny takststruktur skal foregå i god tid og med dialog og involvering af handlekommunen. Det er handlekommunen, der har kompetencen i forhold til at indplacere borgeren i rette ydelsespakke. I den konkrete proces med ændring af en takststruktur vil det oftes</w:t>
      </w:r>
      <w:r>
        <w:t>t</w:t>
      </w:r>
      <w:r w:rsidRPr="00A75EEB">
        <w:t xml:space="preserve"> være udbyder, der kommer med et forslag til indplacering i en ny takststruktur.</w:t>
      </w:r>
    </w:p>
    <w:p w14:paraId="30094EB8" w14:textId="77777777" w:rsidR="00CD6ED8" w:rsidRPr="00A75EEB" w:rsidRDefault="00CD6ED8" w:rsidP="00CD6ED8">
      <w:pPr>
        <w:pStyle w:val="Brdtekst"/>
        <w:spacing w:before="8"/>
      </w:pPr>
    </w:p>
    <w:p w14:paraId="701DC0BB" w14:textId="77777777" w:rsidR="00CD6ED8" w:rsidRPr="00A75EEB" w:rsidRDefault="00CD6ED8" w:rsidP="00CD6ED8">
      <w:pPr>
        <w:pStyle w:val="Overskrift2"/>
        <w:spacing w:before="1"/>
        <w:ind w:left="0"/>
      </w:pPr>
      <w:r w:rsidRPr="00A75EEB">
        <w:t>1: Takststruktur, der bygger på takster, som er gennemsnitlige og rummelige, men med mulighed for differentiering</w:t>
      </w:r>
    </w:p>
    <w:p w14:paraId="4077C89C" w14:textId="77777777" w:rsidR="00CD6ED8" w:rsidRPr="00A75EEB" w:rsidRDefault="00CD6ED8" w:rsidP="00CD6ED8">
      <w:pPr>
        <w:pStyle w:val="Brdtekst"/>
        <w:spacing w:before="159"/>
      </w:pPr>
      <w:r w:rsidRPr="00A75EEB">
        <w:t>Denne takststruktur bygger på følgende principper:</w:t>
      </w:r>
    </w:p>
    <w:p w14:paraId="4E57DA1E" w14:textId="77777777" w:rsidR="00CD6ED8" w:rsidRPr="00A75EEB" w:rsidRDefault="00CD6ED8" w:rsidP="00CD6ED8">
      <w:pPr>
        <w:pStyle w:val="Listeafsnit"/>
        <w:numPr>
          <w:ilvl w:val="0"/>
          <w:numId w:val="5"/>
        </w:numPr>
        <w:tabs>
          <w:tab w:val="left" w:pos="1052"/>
          <w:tab w:val="left" w:pos="1053"/>
        </w:tabs>
        <w:spacing w:before="160" w:line="257" w:lineRule="exact"/>
        <w:rPr>
          <w:sz w:val="21"/>
          <w:szCs w:val="21"/>
        </w:rPr>
      </w:pPr>
      <w:r w:rsidRPr="00A75EEB">
        <w:rPr>
          <w:sz w:val="21"/>
          <w:szCs w:val="21"/>
        </w:rPr>
        <w:t>Få takster for hvert</w:t>
      </w:r>
      <w:r w:rsidRPr="00A75EEB">
        <w:rPr>
          <w:spacing w:val="-8"/>
          <w:sz w:val="21"/>
          <w:szCs w:val="21"/>
        </w:rPr>
        <w:t xml:space="preserve"> </w:t>
      </w:r>
      <w:r w:rsidRPr="00A75EEB">
        <w:rPr>
          <w:sz w:val="21"/>
          <w:szCs w:val="21"/>
        </w:rPr>
        <w:t>tilbud</w:t>
      </w:r>
    </w:p>
    <w:p w14:paraId="1B579BC0" w14:textId="77777777" w:rsidR="00CD6ED8" w:rsidRPr="00A75EEB" w:rsidRDefault="00CD6ED8" w:rsidP="00CD6ED8">
      <w:pPr>
        <w:pStyle w:val="Listeafsnit"/>
        <w:numPr>
          <w:ilvl w:val="0"/>
          <w:numId w:val="4"/>
        </w:numPr>
        <w:tabs>
          <w:tab w:val="left" w:pos="1052"/>
          <w:tab w:val="left" w:pos="1053"/>
        </w:tabs>
        <w:spacing w:line="257" w:lineRule="exact"/>
        <w:rPr>
          <w:sz w:val="21"/>
          <w:szCs w:val="21"/>
        </w:rPr>
      </w:pPr>
      <w:r w:rsidRPr="00A75EEB">
        <w:rPr>
          <w:sz w:val="21"/>
          <w:szCs w:val="21"/>
        </w:rPr>
        <w:t>Begrænsning af tillægsydelser til særlige</w:t>
      </w:r>
      <w:r w:rsidRPr="00A75EEB">
        <w:rPr>
          <w:spacing w:val="-7"/>
          <w:sz w:val="21"/>
          <w:szCs w:val="21"/>
        </w:rPr>
        <w:t xml:space="preserve"> </w:t>
      </w:r>
      <w:r w:rsidRPr="00A75EEB">
        <w:rPr>
          <w:sz w:val="21"/>
          <w:szCs w:val="21"/>
        </w:rPr>
        <w:t>situationer</w:t>
      </w:r>
    </w:p>
    <w:p w14:paraId="0AFEC8FB" w14:textId="77777777" w:rsidR="00CD6ED8" w:rsidRPr="00A75EEB" w:rsidRDefault="00CD6ED8" w:rsidP="00CD6ED8">
      <w:pPr>
        <w:pStyle w:val="Brdtekst"/>
        <w:spacing w:before="9"/>
      </w:pPr>
    </w:p>
    <w:p w14:paraId="6B70E972" w14:textId="77777777" w:rsidR="00CD6ED8" w:rsidRPr="00A75EEB" w:rsidRDefault="00CD6ED8" w:rsidP="00CD6ED8">
      <w:pPr>
        <w:pStyle w:val="Brdtekst"/>
      </w:pPr>
      <w:r w:rsidRPr="00A75EEB">
        <w:t>Principperne skal sikre, at takststrukturen er enkel og let at administrere for tilbuddene, kommuner og regionen.</w:t>
      </w:r>
    </w:p>
    <w:p w14:paraId="65B8B751" w14:textId="77777777" w:rsidR="00CD6ED8" w:rsidRPr="00A75EEB" w:rsidRDefault="00CD6ED8" w:rsidP="00CD6ED8">
      <w:pPr>
        <w:pStyle w:val="Brdtekst"/>
        <w:spacing w:before="161"/>
      </w:pPr>
      <w:r w:rsidRPr="00A75EEB">
        <w:t xml:space="preserve">Formålet er at sikre mere forudsigelige indtægter og udgifter for henholdsvis udbyder og </w:t>
      </w:r>
      <w:r>
        <w:t>køber</w:t>
      </w:r>
      <w:r w:rsidRPr="00A75EEB">
        <w:t xml:space="preserve"> i budgetåret. Der er ved udformning af takstprincipperne foretaget en afvejning mellem hensynet til, at der skal betales for ”det man får” og hensynet til, at takststrukturen skal være enkel og overskuelig at administrere samt give tilbuddene så fleksible rammer, at en rationel drift kan gennemføres.</w:t>
      </w:r>
    </w:p>
    <w:p w14:paraId="7A5D96D5" w14:textId="77777777" w:rsidR="00CD6ED8" w:rsidRPr="00A75EEB" w:rsidRDefault="00CD6ED8" w:rsidP="00CD6ED8">
      <w:pPr>
        <w:pStyle w:val="Brdtekst"/>
        <w:spacing w:before="158"/>
      </w:pPr>
      <w:r w:rsidRPr="00A75EEB">
        <w:t>Den enkelte borger kan have et meget svingende funktionsniveau med svingende behov for bistand, pleje og omsorg. Det er derfor vigtigt, at takststrukturen udformes på en sådan måde, at den giver det enkelte tilbud mulighed for en fleksibel ressourceudnyttelse indenfor tilbuddets samlede ramme.</w:t>
      </w:r>
    </w:p>
    <w:p w14:paraId="7370659B" w14:textId="77777777" w:rsidR="00CD6ED8" w:rsidRPr="00A75EEB" w:rsidRDefault="00CD6ED8" w:rsidP="00CD6ED8">
      <w:pPr>
        <w:pStyle w:val="Brdtekst"/>
      </w:pPr>
      <w:r w:rsidRPr="00A75EEB">
        <w:t>Ressourcer, som én borger har særlig behov for den ene dag, skal den næste dag uden problemer kunne flyttes til en anden borger, hvis der er behov for det.</w:t>
      </w:r>
    </w:p>
    <w:p w14:paraId="39F6F1CE" w14:textId="77777777" w:rsidR="00CD6ED8" w:rsidRPr="00A75EEB" w:rsidRDefault="00CD6ED8" w:rsidP="00CD6ED8">
      <w:pPr>
        <w:pStyle w:val="Brdtekst"/>
        <w:spacing w:before="160"/>
      </w:pPr>
      <w:r w:rsidRPr="00A75EEB">
        <w:t xml:space="preserve">Indholdet i tilbuddene må nødvendigvis ses i sammenhæng. De enkelte delydelser, som dagligdagen og det pædagogiske arbejde eventuelt kan deles op i, kan ikke stå alene, men vil for den overvejende dels vedkommende være hinandens forudsætning og tilsammen udgøre det behandlingsmæssige eller pædagogiske fundament for tilbuddet. Denne ”pakke” af delydelser definerer tilbuddets basistilbud, og taksten er betalingen for denne. Det betyder, at de enkelte takster så vidt muligt skal omfatte et så bredt </w:t>
      </w:r>
      <w:r w:rsidRPr="00A75EEB">
        <w:lastRenderedPageBreak/>
        <w:t>felt af ydelser, at hyppige forhandlinger om behovet for tillægstakster for supplerende ydelser</w:t>
      </w:r>
      <w:r w:rsidRPr="00A75EEB">
        <w:rPr>
          <w:spacing w:val="-28"/>
        </w:rPr>
        <w:t xml:space="preserve"> </w:t>
      </w:r>
      <w:r w:rsidRPr="00A75EEB">
        <w:t>undgås.</w:t>
      </w:r>
    </w:p>
    <w:p w14:paraId="51A74779" w14:textId="77777777" w:rsidR="00CD6ED8" w:rsidRPr="00A75EEB" w:rsidRDefault="00CD6ED8" w:rsidP="00CD6ED8">
      <w:pPr>
        <w:pStyle w:val="Brdtekst"/>
      </w:pPr>
    </w:p>
    <w:p w14:paraId="196DCC6B" w14:textId="77777777" w:rsidR="00CD6ED8" w:rsidRPr="00A75EEB" w:rsidRDefault="00CD6ED8" w:rsidP="00CD6ED8">
      <w:pPr>
        <w:pStyle w:val="Overskrift2"/>
        <w:ind w:left="0"/>
        <w:rPr>
          <w:b w:val="0"/>
          <w:bCs w:val="0"/>
          <w:u w:val="single"/>
        </w:rPr>
      </w:pPr>
      <w:r w:rsidRPr="00A75EEB">
        <w:rPr>
          <w:b w:val="0"/>
          <w:bCs w:val="0"/>
          <w:u w:val="single"/>
        </w:rPr>
        <w:t>Takststrukturen på det enkelte tilbud</w:t>
      </w:r>
    </w:p>
    <w:p w14:paraId="2447E815" w14:textId="77777777" w:rsidR="00CD6ED8" w:rsidRPr="00A75EEB" w:rsidRDefault="00CD6ED8" w:rsidP="00CD6ED8">
      <w:pPr>
        <w:pStyle w:val="Brdtekst"/>
        <w:spacing w:before="159"/>
      </w:pPr>
      <w:r w:rsidRPr="00A75EEB">
        <w:t>Der skal som udgangspunkt beregnes én takst for hver gruppe af borgere, som, hvad personaleressourcer angår, modtager ydelser af et ensartet omfang, og som indgår i samme faglige og driftsmæssige sammenhæng. Taksterne bør differentieres, når personudgifterne mellem grupper af borgere</w:t>
      </w:r>
      <w:r>
        <w:t>/enkelt borger</w:t>
      </w:r>
      <w:r w:rsidRPr="00A75EEB">
        <w:t xml:space="preserve"> bliver stor. Det vil typisk være forskelle på 150.000 til 175.000 kr. på botilbud og på 30.000 til 50.000 kr. på dagtilbud. Det er den enkelte udbyders vurdering, hvornår der skal foretages en takstdifferentiering.</w:t>
      </w:r>
    </w:p>
    <w:p w14:paraId="759F44D8" w14:textId="77777777" w:rsidR="00CD6ED8" w:rsidRPr="00A75EEB" w:rsidRDefault="00CD6ED8" w:rsidP="00CD6ED8">
      <w:pPr>
        <w:pStyle w:val="Brdtekst"/>
        <w:spacing w:before="9"/>
      </w:pPr>
    </w:p>
    <w:p w14:paraId="7A20FCCA" w14:textId="77777777" w:rsidR="00CD6ED8" w:rsidRPr="00A75EEB" w:rsidRDefault="00CD6ED8" w:rsidP="00CD6ED8">
      <w:pPr>
        <w:pStyle w:val="Overskrift2"/>
        <w:ind w:left="0"/>
      </w:pPr>
      <w:r w:rsidRPr="00A75EEB">
        <w:t>Takststruktur der er baseret på ydelsespakker</w:t>
      </w:r>
    </w:p>
    <w:p w14:paraId="5E8EC7FE" w14:textId="77777777" w:rsidR="00CD6ED8" w:rsidRPr="00A75EEB" w:rsidRDefault="00CD6ED8" w:rsidP="00CD6ED8">
      <w:pPr>
        <w:pStyle w:val="Brdtekst"/>
        <w:spacing w:before="10"/>
      </w:pPr>
    </w:p>
    <w:p w14:paraId="269B49CB" w14:textId="77777777" w:rsidR="00CD6ED8" w:rsidRPr="00A75EEB" w:rsidRDefault="00CD6ED8" w:rsidP="00CD6ED8">
      <w:pPr>
        <w:pStyle w:val="Brdtekst"/>
        <w:spacing w:before="1"/>
      </w:pPr>
      <w:r w:rsidRPr="00A75EEB">
        <w:t>Der er følgende fælles principper, der understøtte</w:t>
      </w:r>
      <w:r>
        <w:t>r</w:t>
      </w:r>
      <w:r w:rsidRPr="00A75EEB">
        <w:t xml:space="preserve"> arbejdet med takststrukturer og ydelsespakker:</w:t>
      </w:r>
    </w:p>
    <w:p w14:paraId="2E6AC784" w14:textId="77777777" w:rsidR="00CD6ED8" w:rsidRPr="00A75EEB" w:rsidRDefault="00CD6ED8" w:rsidP="00CD6ED8">
      <w:pPr>
        <w:pStyle w:val="Listeafsnit"/>
        <w:numPr>
          <w:ilvl w:val="0"/>
          <w:numId w:val="4"/>
        </w:numPr>
        <w:tabs>
          <w:tab w:val="left" w:pos="1052"/>
          <w:tab w:val="left" w:pos="1053"/>
        </w:tabs>
        <w:rPr>
          <w:sz w:val="21"/>
          <w:szCs w:val="21"/>
        </w:rPr>
      </w:pPr>
      <w:r w:rsidRPr="00A75EEB">
        <w:rPr>
          <w:sz w:val="21"/>
          <w:szCs w:val="21"/>
        </w:rPr>
        <w:t xml:space="preserve">En fælles </w:t>
      </w:r>
      <w:proofErr w:type="spellStart"/>
      <w:r w:rsidRPr="00A75EEB">
        <w:rPr>
          <w:sz w:val="21"/>
          <w:szCs w:val="21"/>
        </w:rPr>
        <w:t>grundtakst</w:t>
      </w:r>
      <w:proofErr w:type="spellEnd"/>
      <w:r w:rsidRPr="00A75EEB">
        <w:rPr>
          <w:sz w:val="21"/>
          <w:szCs w:val="21"/>
        </w:rPr>
        <w:t xml:space="preserve">, som bl.a. kan indeholde administration, omkostninger vedr. bygninger, samt eventuelt nattevagt. </w:t>
      </w:r>
      <w:proofErr w:type="spellStart"/>
      <w:r w:rsidRPr="00A75EEB">
        <w:rPr>
          <w:sz w:val="21"/>
          <w:szCs w:val="21"/>
        </w:rPr>
        <w:t>Grundtaksten</w:t>
      </w:r>
      <w:proofErr w:type="spellEnd"/>
      <w:r w:rsidRPr="00A75EEB">
        <w:rPr>
          <w:sz w:val="21"/>
          <w:szCs w:val="21"/>
        </w:rPr>
        <w:t xml:space="preserve"> er afhængig af den enkelte geografiske enhed blandt andet fordi bygningerne kan etableres og drives efter forskellige lovgrundlag (serviceloven</w:t>
      </w:r>
      <w:r>
        <w:rPr>
          <w:sz w:val="21"/>
          <w:szCs w:val="21"/>
        </w:rPr>
        <w:t xml:space="preserve"> eller</w:t>
      </w:r>
      <w:r w:rsidRPr="00A75EEB">
        <w:rPr>
          <w:sz w:val="21"/>
          <w:szCs w:val="21"/>
        </w:rPr>
        <w:t xml:space="preserve"> almenboligloven) og på grund af forskelle i forrentning og</w:t>
      </w:r>
      <w:r w:rsidRPr="00A75EEB">
        <w:rPr>
          <w:spacing w:val="-12"/>
          <w:sz w:val="21"/>
          <w:szCs w:val="21"/>
        </w:rPr>
        <w:t xml:space="preserve"> </w:t>
      </w:r>
      <w:r w:rsidRPr="00A75EEB">
        <w:rPr>
          <w:sz w:val="21"/>
          <w:szCs w:val="21"/>
        </w:rPr>
        <w:t>afskrivninger.</w:t>
      </w:r>
    </w:p>
    <w:p w14:paraId="5174D377" w14:textId="77777777" w:rsidR="00CD6ED8" w:rsidRPr="00A75EEB" w:rsidRDefault="00CD6ED8" w:rsidP="00CD6ED8">
      <w:pPr>
        <w:pStyle w:val="Listeafsnit"/>
        <w:numPr>
          <w:ilvl w:val="0"/>
          <w:numId w:val="4"/>
        </w:numPr>
        <w:tabs>
          <w:tab w:val="left" w:pos="1052"/>
          <w:tab w:val="left" w:pos="1053"/>
        </w:tabs>
        <w:rPr>
          <w:sz w:val="21"/>
          <w:szCs w:val="21"/>
        </w:rPr>
      </w:pPr>
      <w:r w:rsidRPr="00A75EEB">
        <w:rPr>
          <w:sz w:val="21"/>
          <w:szCs w:val="21"/>
        </w:rPr>
        <w:t>Ydelsespakkerne skal på den ene side være så økonomisk smalle, at det sikres, at udgiften svarer til de ydelser, der modtages. Men skal samtidig være så rummelige, at det begrænser antallet af</w:t>
      </w:r>
      <w:r w:rsidRPr="00A75EEB">
        <w:rPr>
          <w:spacing w:val="-3"/>
          <w:sz w:val="21"/>
          <w:szCs w:val="21"/>
        </w:rPr>
        <w:t xml:space="preserve"> </w:t>
      </w:r>
      <w:r w:rsidRPr="00A75EEB">
        <w:rPr>
          <w:sz w:val="21"/>
          <w:szCs w:val="21"/>
        </w:rPr>
        <w:t>pakkeskift.</w:t>
      </w:r>
      <w:bookmarkStart w:id="2" w:name="_Hlk25735652"/>
    </w:p>
    <w:p w14:paraId="09E16522" w14:textId="77777777" w:rsidR="00CD6ED8" w:rsidRPr="00CF213D" w:rsidRDefault="00CD6ED8" w:rsidP="00CD6ED8">
      <w:pPr>
        <w:pStyle w:val="Listeafsnit"/>
        <w:numPr>
          <w:ilvl w:val="0"/>
          <w:numId w:val="4"/>
        </w:numPr>
        <w:tabs>
          <w:tab w:val="left" w:pos="1052"/>
          <w:tab w:val="left" w:pos="1053"/>
        </w:tabs>
        <w:rPr>
          <w:sz w:val="21"/>
          <w:szCs w:val="21"/>
        </w:rPr>
      </w:pPr>
      <w:r w:rsidRPr="00A75EEB">
        <w:rPr>
          <w:sz w:val="21"/>
          <w:szCs w:val="21"/>
        </w:rPr>
        <w:t>Med en takststruktur baseret på ydelsespakker skal der være opmærksomhed omkring incitamenterne til at reducere udgifterne for</w:t>
      </w:r>
      <w:r w:rsidRPr="00A75EEB">
        <w:rPr>
          <w:spacing w:val="-24"/>
          <w:sz w:val="21"/>
          <w:szCs w:val="21"/>
        </w:rPr>
        <w:t xml:space="preserve"> </w:t>
      </w:r>
      <w:r w:rsidRPr="00A75EEB">
        <w:rPr>
          <w:sz w:val="21"/>
          <w:szCs w:val="21"/>
        </w:rPr>
        <w:t>borgeren.</w:t>
      </w:r>
      <w:bookmarkEnd w:id="2"/>
    </w:p>
    <w:p w14:paraId="26F18838" w14:textId="77777777" w:rsidR="00CD6ED8" w:rsidRPr="00A75EEB" w:rsidRDefault="00CD6ED8" w:rsidP="00CD6ED8">
      <w:pPr>
        <w:pStyle w:val="Brdtekst"/>
        <w:spacing w:before="10"/>
      </w:pPr>
    </w:p>
    <w:p w14:paraId="1B038F08" w14:textId="77777777" w:rsidR="00CD6ED8" w:rsidRPr="00A75EEB" w:rsidRDefault="00CD6ED8" w:rsidP="00CD6ED8">
      <w:pPr>
        <w:pStyle w:val="Overskrift2"/>
        <w:ind w:left="0"/>
      </w:pPr>
      <w:r w:rsidRPr="00A75EEB">
        <w:t>Aftaler</w:t>
      </w:r>
    </w:p>
    <w:p w14:paraId="7292F2B4" w14:textId="77777777" w:rsidR="00CD6ED8" w:rsidRPr="00A75EEB" w:rsidRDefault="00CD6ED8" w:rsidP="00CD6ED8">
      <w:pPr>
        <w:pStyle w:val="Brdtekst"/>
        <w:spacing w:before="160"/>
      </w:pPr>
      <w:r w:rsidRPr="00A75EEB">
        <w:rPr>
          <w:u w:val="single"/>
        </w:rPr>
        <w:t>Abonnementsordning</w:t>
      </w:r>
    </w:p>
    <w:p w14:paraId="0A75EA91" w14:textId="77777777" w:rsidR="00CD6ED8" w:rsidRPr="00A75EEB" w:rsidRDefault="00CD6ED8" w:rsidP="00CD6ED8">
      <w:pPr>
        <w:pStyle w:val="Brdtekst"/>
        <w:spacing w:before="159"/>
      </w:pPr>
      <w:r w:rsidRPr="00A75EEB">
        <w:t>Det er muligt at fravige takstprincippet og i stedet indgå aftale om abonnementsordninger eller andre ordninger, der indebærer fælles finansiering uden direkte sammenhæng til anvendelsen af tilbuddene. Ministeriet betragter muligheden for abonnementsordninger som et væsentligt element i muligheden for at understøtte efterspørgslen efter de mest specialiserede tilbud.</w:t>
      </w:r>
    </w:p>
    <w:p w14:paraId="68B463DC" w14:textId="77777777" w:rsidR="00CD6ED8" w:rsidRPr="00A75EEB" w:rsidRDefault="00CD6ED8" w:rsidP="00CD6ED8">
      <w:pPr>
        <w:pStyle w:val="Brdtekst"/>
      </w:pPr>
    </w:p>
    <w:p w14:paraId="6B67EF0C" w14:textId="77777777" w:rsidR="00CD6ED8" w:rsidRPr="00A75EEB" w:rsidRDefault="00CD6ED8" w:rsidP="00CD6ED8">
      <w:pPr>
        <w:pStyle w:val="Brdtekst"/>
      </w:pPr>
      <w:r w:rsidRPr="00A75EEB">
        <w:rPr>
          <w:u w:val="single"/>
        </w:rPr>
        <w:t>Forpligtende købsaftaler og delt finansieringsansvar</w:t>
      </w:r>
    </w:p>
    <w:p w14:paraId="0D4A906E" w14:textId="77777777" w:rsidR="00CD6ED8" w:rsidRPr="00A75EEB" w:rsidRDefault="00CD6ED8" w:rsidP="00CD6ED8">
      <w:pPr>
        <w:pStyle w:val="Brdtekst"/>
        <w:spacing w:before="10"/>
      </w:pPr>
    </w:p>
    <w:p w14:paraId="00938330" w14:textId="77777777" w:rsidR="00CD6ED8" w:rsidRPr="00A75EEB" w:rsidRDefault="00CD6ED8" w:rsidP="00CD6ED8">
      <w:pPr>
        <w:pStyle w:val="Brdtekst"/>
        <w:spacing w:before="104"/>
      </w:pPr>
      <w:r w:rsidRPr="00A75EEB">
        <w:t>Der er mulighed for at indgå forpligtende købsaftaler og delt finansieringsansvar. Ved forpligtende købsaftaler, forstås aftaler, hvor en eller flere kommunalbestyrelser garanterer for betaling af et bestemt antal pladser i et tilbud i en aftalt periode, hvis pladse</w:t>
      </w:r>
      <w:r>
        <w:t>rne ikke efterspørges af andre.</w:t>
      </w:r>
    </w:p>
    <w:p w14:paraId="361C76E5" w14:textId="77777777" w:rsidR="00CD6ED8" w:rsidRPr="00A75EEB" w:rsidRDefault="00CD6ED8" w:rsidP="00CD6ED8">
      <w:pPr>
        <w:pStyle w:val="Brdtekst"/>
        <w:spacing w:before="96"/>
      </w:pPr>
      <w:r w:rsidRPr="00A75EEB">
        <w:t>Ved aftaler om delt finansieringsansvar, forstås aftaler, hvor en eller flere kommunalbestyrelser bidrager til finansieringen af et konkret tilbud, uden at kommunalbestyrelsen selv er driftsherre.</w:t>
      </w:r>
    </w:p>
    <w:p w14:paraId="7D09FA58" w14:textId="77777777" w:rsidR="00CD6ED8" w:rsidRPr="00A75EEB" w:rsidRDefault="00CD6ED8" w:rsidP="00CD6ED8">
      <w:pPr>
        <w:pStyle w:val="Brdtekst"/>
        <w:spacing w:before="96"/>
        <w:ind w:left="332"/>
      </w:pPr>
    </w:p>
    <w:p w14:paraId="02D5EE65" w14:textId="77777777" w:rsidR="00CD6ED8" w:rsidRDefault="00CD6ED8" w:rsidP="00CD6ED8">
      <w:pPr>
        <w:pStyle w:val="Overskrift2"/>
        <w:ind w:left="0"/>
      </w:pPr>
      <w:r>
        <w:t>J</w:t>
      </w:r>
      <w:r w:rsidRPr="002E0C53">
        <w:t>ustering afledt af initiativer i forb</w:t>
      </w:r>
      <w:bookmarkStart w:id="3" w:name="_Hlk44932587"/>
      <w:r>
        <w:t>indelse med Økonomiaftalen 2020</w:t>
      </w:r>
    </w:p>
    <w:p w14:paraId="642745DF" w14:textId="77777777" w:rsidR="00CD6ED8" w:rsidRDefault="00CD6ED8" w:rsidP="00CD6ED8">
      <w:pPr>
        <w:pStyle w:val="Overskrift2"/>
        <w:ind w:left="0"/>
      </w:pPr>
    </w:p>
    <w:p w14:paraId="51B06A28" w14:textId="77777777" w:rsidR="00CD6ED8" w:rsidRPr="00A75EEB" w:rsidRDefault="00CD6ED8" w:rsidP="00CD6ED8">
      <w:pPr>
        <w:widowControl/>
        <w:autoSpaceDE/>
        <w:autoSpaceDN/>
        <w:spacing w:line="240" w:lineRule="atLeast"/>
        <w:contextualSpacing/>
        <w:rPr>
          <w:sz w:val="21"/>
          <w:szCs w:val="21"/>
        </w:rPr>
      </w:pPr>
      <w:r w:rsidRPr="00A75EEB">
        <w:t xml:space="preserve">Regeringen og KL aftalte med ØA2020 at igangsætte initiativer, der bidrager til at skabe mere gennemsigtighed i takststrukturen. </w:t>
      </w:r>
      <w:r>
        <w:t>Der</w:t>
      </w:r>
      <w:r w:rsidRPr="00A75EEB">
        <w:t xml:space="preserve"> arbejdes</w:t>
      </w:r>
      <w:r>
        <w:t xml:space="preserve"> fortsat</w:t>
      </w:r>
      <w:r w:rsidRPr="00A75EEB">
        <w:t xml:space="preserve"> </w:t>
      </w:r>
      <w:r>
        <w:t>med j</w:t>
      </w:r>
      <w:r w:rsidRPr="006F17FE">
        <w:rPr>
          <w:sz w:val="21"/>
          <w:szCs w:val="21"/>
        </w:rPr>
        <w:t>ustering af takstmodellen</w:t>
      </w:r>
      <w:r>
        <w:rPr>
          <w:sz w:val="21"/>
          <w:szCs w:val="21"/>
        </w:rPr>
        <w:t xml:space="preserve"> </w:t>
      </w:r>
      <w:r w:rsidRPr="00A75EEB">
        <w:rPr>
          <w:sz w:val="21"/>
          <w:szCs w:val="21"/>
        </w:rPr>
        <w:t xml:space="preserve">så taksterne fremadrettet skal opdeles i en basis- og en ydelsestakst. Social- og Indenrigsministeriet </w:t>
      </w:r>
      <w:r>
        <w:rPr>
          <w:sz w:val="21"/>
          <w:szCs w:val="21"/>
        </w:rPr>
        <w:t>har</w:t>
      </w:r>
      <w:r w:rsidRPr="00A75EEB">
        <w:rPr>
          <w:sz w:val="21"/>
          <w:szCs w:val="21"/>
        </w:rPr>
        <w:t xml:space="preserve"> med inddragelse af KL, Danske Regioner og Finansministeriet igangs</w:t>
      </w:r>
      <w:r>
        <w:rPr>
          <w:sz w:val="21"/>
          <w:szCs w:val="21"/>
        </w:rPr>
        <w:t>at</w:t>
      </w:r>
      <w:r w:rsidRPr="00A75EEB">
        <w:rPr>
          <w:sz w:val="21"/>
          <w:szCs w:val="21"/>
        </w:rPr>
        <w:t xml:space="preserve"> et arbejde med henblik på at ændre finansieringsbekendtgørelsen, som </w:t>
      </w:r>
      <w:r>
        <w:rPr>
          <w:sz w:val="21"/>
          <w:szCs w:val="21"/>
        </w:rPr>
        <w:t>tidligst træder i kraft for taksterne for 2024.</w:t>
      </w:r>
      <w:r w:rsidRPr="00A75EEB">
        <w:rPr>
          <w:sz w:val="21"/>
          <w:szCs w:val="21"/>
        </w:rPr>
        <w:t xml:space="preserve"> </w:t>
      </w:r>
    </w:p>
    <w:p w14:paraId="77E571D2" w14:textId="77777777" w:rsidR="00CD6ED8" w:rsidRPr="00A75EEB" w:rsidRDefault="00CD6ED8" w:rsidP="00CD6ED8">
      <w:pPr>
        <w:rPr>
          <w:sz w:val="21"/>
          <w:szCs w:val="21"/>
        </w:rPr>
      </w:pPr>
    </w:p>
    <w:p w14:paraId="384C77B5" w14:textId="77777777" w:rsidR="00CD6ED8" w:rsidRPr="00CF213D" w:rsidRDefault="00CD6ED8" w:rsidP="00CD6ED8">
      <w:pPr>
        <w:widowControl/>
        <w:autoSpaceDE/>
        <w:autoSpaceDN/>
        <w:spacing w:line="240" w:lineRule="atLeast"/>
        <w:contextualSpacing/>
        <w:rPr>
          <w:i/>
          <w:iCs/>
          <w:sz w:val="21"/>
          <w:szCs w:val="21"/>
        </w:rPr>
      </w:pPr>
      <w:r w:rsidRPr="00CF213D">
        <w:rPr>
          <w:i/>
          <w:iCs/>
          <w:sz w:val="21"/>
          <w:szCs w:val="21"/>
        </w:rPr>
        <w:t>Udarbejdelse af standardkontrakt</w:t>
      </w:r>
    </w:p>
    <w:p w14:paraId="68991C50" w14:textId="77777777" w:rsidR="00CD6ED8" w:rsidRPr="00A75EEB" w:rsidRDefault="00CD6ED8" w:rsidP="00CD6ED8">
      <w:pPr>
        <w:rPr>
          <w:sz w:val="21"/>
          <w:szCs w:val="21"/>
        </w:rPr>
      </w:pPr>
      <w:r w:rsidRPr="00A75EEB">
        <w:rPr>
          <w:sz w:val="21"/>
          <w:szCs w:val="21"/>
        </w:rPr>
        <w:t>Med henblik på at styrke kommunernes køberrolle og understøtte kontraktstyringen er det aftalt at udarbejde en skabelon til en standardkontrakt, som kommunerne og leverandører kan anvende i forbindelse med køb/salg af ydelser og indsatser på det specialiserede socialområde.</w:t>
      </w:r>
    </w:p>
    <w:p w14:paraId="54E026CB" w14:textId="77777777" w:rsidR="00CD6ED8" w:rsidRPr="00A75EEB" w:rsidRDefault="00CD6ED8" w:rsidP="00CD6ED8">
      <w:pPr>
        <w:rPr>
          <w:sz w:val="21"/>
          <w:szCs w:val="21"/>
        </w:rPr>
      </w:pPr>
    </w:p>
    <w:p w14:paraId="363D0BA5" w14:textId="77777777" w:rsidR="00CD6ED8" w:rsidRPr="00A75EEB" w:rsidRDefault="00CD6ED8" w:rsidP="00CD6ED8">
      <w:pPr>
        <w:rPr>
          <w:sz w:val="21"/>
          <w:szCs w:val="21"/>
        </w:rPr>
      </w:pPr>
      <w:r w:rsidRPr="00A75EEB">
        <w:rPr>
          <w:sz w:val="21"/>
          <w:szCs w:val="21"/>
        </w:rPr>
        <w:lastRenderedPageBreak/>
        <w:t xml:space="preserve">Der er nedsat en arbejdsgruppe med deltagelse fra kommuner og regioner, der udarbejder skabelonen til standardkontrakten. Der </w:t>
      </w:r>
      <w:r>
        <w:rPr>
          <w:sz w:val="21"/>
          <w:szCs w:val="21"/>
        </w:rPr>
        <w:t xml:space="preserve">er </w:t>
      </w:r>
      <w:r w:rsidRPr="00A75EEB">
        <w:rPr>
          <w:sz w:val="21"/>
          <w:szCs w:val="21"/>
        </w:rPr>
        <w:t>udarbejde</w:t>
      </w:r>
      <w:r>
        <w:rPr>
          <w:sz w:val="21"/>
          <w:szCs w:val="21"/>
        </w:rPr>
        <w:t>t</w:t>
      </w:r>
      <w:r w:rsidRPr="00A75EEB">
        <w:rPr>
          <w:sz w:val="21"/>
          <w:szCs w:val="21"/>
        </w:rPr>
        <w:t xml:space="preserve"> skabelon for voksenområdet </w:t>
      </w:r>
      <w:r>
        <w:rPr>
          <w:sz w:val="21"/>
          <w:szCs w:val="21"/>
        </w:rPr>
        <w:t>og der arbejdes med</w:t>
      </w:r>
      <w:r w:rsidRPr="00A75EEB">
        <w:rPr>
          <w:sz w:val="21"/>
          <w:szCs w:val="21"/>
        </w:rPr>
        <w:t xml:space="preserve"> </w:t>
      </w:r>
      <w:r>
        <w:rPr>
          <w:sz w:val="21"/>
          <w:szCs w:val="21"/>
        </w:rPr>
        <w:t>é</w:t>
      </w:r>
      <w:r w:rsidRPr="00A75EEB">
        <w:rPr>
          <w:sz w:val="21"/>
          <w:szCs w:val="21"/>
        </w:rPr>
        <w:t>n for børn- og ungeområdet. Skabelone</w:t>
      </w:r>
      <w:r>
        <w:rPr>
          <w:sz w:val="21"/>
          <w:szCs w:val="21"/>
        </w:rPr>
        <w:t>r</w:t>
      </w:r>
      <w:r w:rsidRPr="00A75EEB">
        <w:rPr>
          <w:sz w:val="21"/>
          <w:szCs w:val="21"/>
        </w:rPr>
        <w:t>n</w:t>
      </w:r>
      <w:r>
        <w:rPr>
          <w:sz w:val="21"/>
          <w:szCs w:val="21"/>
        </w:rPr>
        <w:t>e</w:t>
      </w:r>
      <w:r w:rsidRPr="00A75EEB">
        <w:rPr>
          <w:sz w:val="21"/>
          <w:szCs w:val="21"/>
        </w:rPr>
        <w:t xml:space="preserve"> ledsages af en vejledning.</w:t>
      </w:r>
    </w:p>
    <w:p w14:paraId="5EF480DF" w14:textId="77777777" w:rsidR="00CD6ED8" w:rsidRPr="00A75EEB" w:rsidRDefault="00CD6ED8" w:rsidP="00CD6ED8">
      <w:pPr>
        <w:rPr>
          <w:sz w:val="21"/>
          <w:szCs w:val="21"/>
        </w:rPr>
      </w:pPr>
    </w:p>
    <w:bookmarkEnd w:id="3"/>
    <w:p w14:paraId="6500D33C" w14:textId="77777777" w:rsidR="00CD6ED8" w:rsidRDefault="00CD6ED8" w:rsidP="00CD6ED8">
      <w:pPr>
        <w:pStyle w:val="Overskrift1"/>
        <w:ind w:left="0"/>
        <w:rPr>
          <w:color w:val="C45911" w:themeColor="accent2" w:themeShade="BF"/>
        </w:rPr>
      </w:pPr>
    </w:p>
    <w:p w14:paraId="23CC2650" w14:textId="77777777" w:rsidR="000D5A9B" w:rsidRPr="000D5A9B" w:rsidRDefault="000D5A9B">
      <w:pPr>
        <w:rPr>
          <w:rFonts w:ascii="Verdana" w:hAnsi="Verdana"/>
          <w:sz w:val="20"/>
          <w:szCs w:val="20"/>
        </w:rPr>
      </w:pPr>
    </w:p>
    <w:sectPr w:rsidR="000D5A9B" w:rsidRPr="000D5A9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A5001" w14:textId="77777777" w:rsidR="00CD6ED8" w:rsidRDefault="00CD6ED8" w:rsidP="00CD6ED8">
      <w:r>
        <w:separator/>
      </w:r>
    </w:p>
  </w:endnote>
  <w:endnote w:type="continuationSeparator" w:id="0">
    <w:p w14:paraId="15DE3F41" w14:textId="77777777" w:rsidR="00CD6ED8" w:rsidRDefault="00CD6ED8" w:rsidP="00CD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78DC" w14:textId="77777777" w:rsidR="00CD6ED8" w:rsidRDefault="00CD6ED8" w:rsidP="00CD6ED8">
      <w:r>
        <w:separator/>
      </w:r>
    </w:p>
  </w:footnote>
  <w:footnote w:type="continuationSeparator" w:id="0">
    <w:p w14:paraId="0B7E3655" w14:textId="77777777" w:rsidR="00CD6ED8" w:rsidRDefault="00CD6ED8" w:rsidP="00CD6ED8">
      <w:r>
        <w:continuationSeparator/>
      </w:r>
    </w:p>
  </w:footnote>
  <w:footnote w:id="1">
    <w:p w14:paraId="6BB49809" w14:textId="77777777" w:rsidR="00CD6ED8" w:rsidRPr="005C4256" w:rsidRDefault="00CD6ED8" w:rsidP="00CD6ED8">
      <w:pPr>
        <w:pStyle w:val="Fodnotetekst"/>
      </w:pPr>
      <w:r>
        <w:rPr>
          <w:rStyle w:val="Fodnotehenvisning"/>
        </w:rPr>
        <w:footnoteRef/>
      </w:r>
      <w:r w:rsidRPr="006A36DD">
        <w:t xml:space="preserve"> Det gælder også objektiv finansiering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5EEC"/>
    <w:multiLevelType w:val="hybridMultilevel"/>
    <w:tmpl w:val="B51C7D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A2D3F6F"/>
    <w:multiLevelType w:val="hybridMultilevel"/>
    <w:tmpl w:val="93EEB5A2"/>
    <w:lvl w:ilvl="0" w:tplc="918AD8EC">
      <w:numFmt w:val="bullet"/>
      <w:lvlText w:val=""/>
      <w:lvlJc w:val="left"/>
      <w:pPr>
        <w:ind w:left="1052" w:hanging="360"/>
      </w:pPr>
      <w:rPr>
        <w:rFonts w:ascii="Symbol" w:eastAsia="Symbol" w:hAnsi="Symbol" w:cs="Symbol" w:hint="default"/>
        <w:w w:val="100"/>
        <w:sz w:val="21"/>
        <w:szCs w:val="21"/>
      </w:rPr>
    </w:lvl>
    <w:lvl w:ilvl="1" w:tplc="54D01E4A">
      <w:numFmt w:val="bullet"/>
      <w:lvlText w:val="•"/>
      <w:lvlJc w:val="left"/>
      <w:pPr>
        <w:ind w:left="1992" w:hanging="360"/>
      </w:pPr>
      <w:rPr>
        <w:rFonts w:hint="default"/>
      </w:rPr>
    </w:lvl>
    <w:lvl w:ilvl="2" w:tplc="7B46AD24">
      <w:numFmt w:val="bullet"/>
      <w:lvlText w:val="•"/>
      <w:lvlJc w:val="left"/>
      <w:pPr>
        <w:ind w:left="2924" w:hanging="360"/>
      </w:pPr>
      <w:rPr>
        <w:rFonts w:hint="default"/>
      </w:rPr>
    </w:lvl>
    <w:lvl w:ilvl="3" w:tplc="BB1E17FA">
      <w:numFmt w:val="bullet"/>
      <w:lvlText w:val="•"/>
      <w:lvlJc w:val="left"/>
      <w:pPr>
        <w:ind w:left="3856" w:hanging="360"/>
      </w:pPr>
      <w:rPr>
        <w:rFonts w:hint="default"/>
      </w:rPr>
    </w:lvl>
    <w:lvl w:ilvl="4" w:tplc="221C1872">
      <w:numFmt w:val="bullet"/>
      <w:lvlText w:val="•"/>
      <w:lvlJc w:val="left"/>
      <w:pPr>
        <w:ind w:left="4788" w:hanging="360"/>
      </w:pPr>
      <w:rPr>
        <w:rFonts w:hint="default"/>
      </w:rPr>
    </w:lvl>
    <w:lvl w:ilvl="5" w:tplc="17B271F8">
      <w:numFmt w:val="bullet"/>
      <w:lvlText w:val="•"/>
      <w:lvlJc w:val="left"/>
      <w:pPr>
        <w:ind w:left="5720" w:hanging="360"/>
      </w:pPr>
      <w:rPr>
        <w:rFonts w:hint="default"/>
      </w:rPr>
    </w:lvl>
    <w:lvl w:ilvl="6" w:tplc="BF166534">
      <w:numFmt w:val="bullet"/>
      <w:lvlText w:val="•"/>
      <w:lvlJc w:val="left"/>
      <w:pPr>
        <w:ind w:left="6652" w:hanging="360"/>
      </w:pPr>
      <w:rPr>
        <w:rFonts w:hint="default"/>
      </w:rPr>
    </w:lvl>
    <w:lvl w:ilvl="7" w:tplc="D646F20E">
      <w:numFmt w:val="bullet"/>
      <w:lvlText w:val="•"/>
      <w:lvlJc w:val="left"/>
      <w:pPr>
        <w:ind w:left="7584" w:hanging="360"/>
      </w:pPr>
      <w:rPr>
        <w:rFonts w:hint="default"/>
      </w:rPr>
    </w:lvl>
    <w:lvl w:ilvl="8" w:tplc="B1F6B0CE">
      <w:numFmt w:val="bullet"/>
      <w:lvlText w:val="•"/>
      <w:lvlJc w:val="left"/>
      <w:pPr>
        <w:ind w:left="8516" w:hanging="360"/>
      </w:pPr>
      <w:rPr>
        <w:rFonts w:hint="default"/>
      </w:rPr>
    </w:lvl>
  </w:abstractNum>
  <w:abstractNum w:abstractNumId="2" w15:restartNumberingAfterBreak="0">
    <w:nsid w:val="368667AD"/>
    <w:multiLevelType w:val="hybridMultilevel"/>
    <w:tmpl w:val="692A0416"/>
    <w:lvl w:ilvl="0" w:tplc="04060001">
      <w:start w:val="1"/>
      <w:numFmt w:val="bullet"/>
      <w:lvlText w:val=""/>
      <w:lvlJc w:val="left"/>
      <w:pPr>
        <w:ind w:left="1052" w:hanging="360"/>
      </w:pPr>
      <w:rPr>
        <w:rFonts w:ascii="Symbol" w:hAnsi="Symbol" w:hint="default"/>
      </w:rPr>
    </w:lvl>
    <w:lvl w:ilvl="1" w:tplc="04060003" w:tentative="1">
      <w:start w:val="1"/>
      <w:numFmt w:val="bullet"/>
      <w:lvlText w:val="o"/>
      <w:lvlJc w:val="left"/>
      <w:pPr>
        <w:ind w:left="1772" w:hanging="360"/>
      </w:pPr>
      <w:rPr>
        <w:rFonts w:ascii="Courier New" w:hAnsi="Courier New" w:cs="Courier New" w:hint="default"/>
      </w:rPr>
    </w:lvl>
    <w:lvl w:ilvl="2" w:tplc="04060005" w:tentative="1">
      <w:start w:val="1"/>
      <w:numFmt w:val="bullet"/>
      <w:lvlText w:val=""/>
      <w:lvlJc w:val="left"/>
      <w:pPr>
        <w:ind w:left="2492" w:hanging="360"/>
      </w:pPr>
      <w:rPr>
        <w:rFonts w:ascii="Wingdings" w:hAnsi="Wingdings" w:hint="default"/>
      </w:rPr>
    </w:lvl>
    <w:lvl w:ilvl="3" w:tplc="04060001" w:tentative="1">
      <w:start w:val="1"/>
      <w:numFmt w:val="bullet"/>
      <w:lvlText w:val=""/>
      <w:lvlJc w:val="left"/>
      <w:pPr>
        <w:ind w:left="3212" w:hanging="360"/>
      </w:pPr>
      <w:rPr>
        <w:rFonts w:ascii="Symbol" w:hAnsi="Symbol" w:hint="default"/>
      </w:rPr>
    </w:lvl>
    <w:lvl w:ilvl="4" w:tplc="04060003" w:tentative="1">
      <w:start w:val="1"/>
      <w:numFmt w:val="bullet"/>
      <w:lvlText w:val="o"/>
      <w:lvlJc w:val="left"/>
      <w:pPr>
        <w:ind w:left="3932" w:hanging="360"/>
      </w:pPr>
      <w:rPr>
        <w:rFonts w:ascii="Courier New" w:hAnsi="Courier New" w:cs="Courier New" w:hint="default"/>
      </w:rPr>
    </w:lvl>
    <w:lvl w:ilvl="5" w:tplc="04060005" w:tentative="1">
      <w:start w:val="1"/>
      <w:numFmt w:val="bullet"/>
      <w:lvlText w:val=""/>
      <w:lvlJc w:val="left"/>
      <w:pPr>
        <w:ind w:left="4652" w:hanging="360"/>
      </w:pPr>
      <w:rPr>
        <w:rFonts w:ascii="Wingdings" w:hAnsi="Wingdings" w:hint="default"/>
      </w:rPr>
    </w:lvl>
    <w:lvl w:ilvl="6" w:tplc="04060001" w:tentative="1">
      <w:start w:val="1"/>
      <w:numFmt w:val="bullet"/>
      <w:lvlText w:val=""/>
      <w:lvlJc w:val="left"/>
      <w:pPr>
        <w:ind w:left="5372" w:hanging="360"/>
      </w:pPr>
      <w:rPr>
        <w:rFonts w:ascii="Symbol" w:hAnsi="Symbol" w:hint="default"/>
      </w:rPr>
    </w:lvl>
    <w:lvl w:ilvl="7" w:tplc="04060003" w:tentative="1">
      <w:start w:val="1"/>
      <w:numFmt w:val="bullet"/>
      <w:lvlText w:val="o"/>
      <w:lvlJc w:val="left"/>
      <w:pPr>
        <w:ind w:left="6092" w:hanging="360"/>
      </w:pPr>
      <w:rPr>
        <w:rFonts w:ascii="Courier New" w:hAnsi="Courier New" w:cs="Courier New" w:hint="default"/>
      </w:rPr>
    </w:lvl>
    <w:lvl w:ilvl="8" w:tplc="04060005" w:tentative="1">
      <w:start w:val="1"/>
      <w:numFmt w:val="bullet"/>
      <w:lvlText w:val=""/>
      <w:lvlJc w:val="left"/>
      <w:pPr>
        <w:ind w:left="6812" w:hanging="360"/>
      </w:pPr>
      <w:rPr>
        <w:rFonts w:ascii="Wingdings" w:hAnsi="Wingdings" w:hint="default"/>
      </w:rPr>
    </w:lvl>
  </w:abstractNum>
  <w:abstractNum w:abstractNumId="3" w15:restartNumberingAfterBreak="0">
    <w:nsid w:val="3A685F8E"/>
    <w:multiLevelType w:val="hybridMultilevel"/>
    <w:tmpl w:val="EDDEF9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CCF69E7"/>
    <w:multiLevelType w:val="hybridMultilevel"/>
    <w:tmpl w:val="29C8278E"/>
    <w:lvl w:ilvl="0" w:tplc="0406000F">
      <w:start w:val="1"/>
      <w:numFmt w:val="decimal"/>
      <w:lvlText w:val="%1."/>
      <w:lvlJc w:val="left"/>
      <w:pPr>
        <w:ind w:left="360" w:hanging="360"/>
      </w:pPr>
      <w:rPr>
        <w:rFonts w:hint="default"/>
        <w:w w:val="100"/>
        <w:sz w:val="21"/>
        <w:szCs w:val="21"/>
      </w:rPr>
    </w:lvl>
    <w:lvl w:ilvl="1" w:tplc="35765A60">
      <w:numFmt w:val="bullet"/>
      <w:lvlText w:val="•"/>
      <w:lvlJc w:val="left"/>
      <w:pPr>
        <w:ind w:left="1294" w:hanging="360"/>
      </w:pPr>
      <w:rPr>
        <w:rFonts w:hint="default"/>
      </w:rPr>
    </w:lvl>
    <w:lvl w:ilvl="2" w:tplc="A9E8AC26">
      <w:numFmt w:val="bullet"/>
      <w:lvlText w:val="•"/>
      <w:lvlJc w:val="left"/>
      <w:pPr>
        <w:ind w:left="2220" w:hanging="360"/>
      </w:pPr>
      <w:rPr>
        <w:rFonts w:hint="default"/>
      </w:rPr>
    </w:lvl>
    <w:lvl w:ilvl="3" w:tplc="D282812E">
      <w:numFmt w:val="bullet"/>
      <w:lvlText w:val="•"/>
      <w:lvlJc w:val="left"/>
      <w:pPr>
        <w:ind w:left="3146" w:hanging="360"/>
      </w:pPr>
      <w:rPr>
        <w:rFonts w:hint="default"/>
      </w:rPr>
    </w:lvl>
    <w:lvl w:ilvl="4" w:tplc="22DC94D0">
      <w:numFmt w:val="bullet"/>
      <w:lvlText w:val="•"/>
      <w:lvlJc w:val="left"/>
      <w:pPr>
        <w:ind w:left="4072" w:hanging="360"/>
      </w:pPr>
      <w:rPr>
        <w:rFonts w:hint="default"/>
      </w:rPr>
    </w:lvl>
    <w:lvl w:ilvl="5" w:tplc="5C965038">
      <w:numFmt w:val="bullet"/>
      <w:lvlText w:val="•"/>
      <w:lvlJc w:val="left"/>
      <w:pPr>
        <w:ind w:left="4998" w:hanging="360"/>
      </w:pPr>
      <w:rPr>
        <w:rFonts w:hint="default"/>
      </w:rPr>
    </w:lvl>
    <w:lvl w:ilvl="6" w:tplc="FD3EF952">
      <w:numFmt w:val="bullet"/>
      <w:lvlText w:val="•"/>
      <w:lvlJc w:val="left"/>
      <w:pPr>
        <w:ind w:left="5924" w:hanging="360"/>
      </w:pPr>
      <w:rPr>
        <w:rFonts w:hint="default"/>
      </w:rPr>
    </w:lvl>
    <w:lvl w:ilvl="7" w:tplc="60D2EAB2">
      <w:numFmt w:val="bullet"/>
      <w:lvlText w:val="•"/>
      <w:lvlJc w:val="left"/>
      <w:pPr>
        <w:ind w:left="6850" w:hanging="360"/>
      </w:pPr>
      <w:rPr>
        <w:rFonts w:hint="default"/>
      </w:rPr>
    </w:lvl>
    <w:lvl w:ilvl="8" w:tplc="64360A24">
      <w:numFmt w:val="bullet"/>
      <w:lvlText w:val="•"/>
      <w:lvlJc w:val="left"/>
      <w:pPr>
        <w:ind w:left="7776" w:hanging="36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D8"/>
    <w:rsid w:val="000D5A9B"/>
    <w:rsid w:val="00CD6E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3649"/>
  <w15:chartTrackingRefBased/>
  <w15:docId w15:val="{ADBF071E-9D74-4031-A1EF-151FD42C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ED8"/>
    <w:pPr>
      <w:widowControl w:val="0"/>
      <w:autoSpaceDE w:val="0"/>
      <w:autoSpaceDN w:val="0"/>
      <w:spacing w:after="0" w:line="240" w:lineRule="auto"/>
    </w:pPr>
    <w:rPr>
      <w:rFonts w:ascii="Arial" w:eastAsia="Arial" w:hAnsi="Arial" w:cs="Arial"/>
    </w:rPr>
  </w:style>
  <w:style w:type="paragraph" w:styleId="Overskrift1">
    <w:name w:val="heading 1"/>
    <w:basedOn w:val="Normal"/>
    <w:link w:val="Overskrift1Tegn"/>
    <w:uiPriority w:val="9"/>
    <w:qFormat/>
    <w:rsid w:val="00CD6ED8"/>
    <w:pPr>
      <w:ind w:left="332"/>
      <w:outlineLvl w:val="0"/>
    </w:pPr>
    <w:rPr>
      <w:rFonts w:ascii="Cambria" w:eastAsia="Cambria" w:hAnsi="Cambria" w:cs="Cambria"/>
      <w:sz w:val="36"/>
      <w:szCs w:val="36"/>
    </w:rPr>
  </w:style>
  <w:style w:type="paragraph" w:styleId="Overskrift2">
    <w:name w:val="heading 2"/>
    <w:basedOn w:val="Normal"/>
    <w:link w:val="Overskrift2Tegn"/>
    <w:uiPriority w:val="9"/>
    <w:unhideWhenUsed/>
    <w:qFormat/>
    <w:rsid w:val="00CD6ED8"/>
    <w:pPr>
      <w:ind w:left="332"/>
      <w:outlineLvl w:val="1"/>
    </w:pPr>
    <w:rPr>
      <w:b/>
      <w:b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D6ED8"/>
    <w:rPr>
      <w:rFonts w:ascii="Cambria" w:eastAsia="Cambria" w:hAnsi="Cambria" w:cs="Cambria"/>
      <w:sz w:val="36"/>
      <w:szCs w:val="36"/>
    </w:rPr>
  </w:style>
  <w:style w:type="character" w:customStyle="1" w:styleId="Overskrift2Tegn">
    <w:name w:val="Overskrift 2 Tegn"/>
    <w:basedOn w:val="Standardskrifttypeiafsnit"/>
    <w:link w:val="Overskrift2"/>
    <w:uiPriority w:val="9"/>
    <w:rsid w:val="00CD6ED8"/>
    <w:rPr>
      <w:rFonts w:ascii="Arial" w:eastAsia="Arial" w:hAnsi="Arial" w:cs="Arial"/>
      <w:b/>
      <w:bCs/>
      <w:sz w:val="21"/>
      <w:szCs w:val="21"/>
    </w:rPr>
  </w:style>
  <w:style w:type="paragraph" w:styleId="Brdtekst">
    <w:name w:val="Body Text"/>
    <w:basedOn w:val="Normal"/>
    <w:link w:val="BrdtekstTegn"/>
    <w:uiPriority w:val="1"/>
    <w:qFormat/>
    <w:rsid w:val="00CD6ED8"/>
    <w:rPr>
      <w:sz w:val="21"/>
      <w:szCs w:val="21"/>
    </w:rPr>
  </w:style>
  <w:style w:type="character" w:customStyle="1" w:styleId="BrdtekstTegn">
    <w:name w:val="Brødtekst Tegn"/>
    <w:basedOn w:val="Standardskrifttypeiafsnit"/>
    <w:link w:val="Brdtekst"/>
    <w:uiPriority w:val="1"/>
    <w:rsid w:val="00CD6ED8"/>
    <w:rPr>
      <w:rFonts w:ascii="Arial" w:eastAsia="Arial" w:hAnsi="Arial" w:cs="Arial"/>
      <w:sz w:val="21"/>
      <w:szCs w:val="21"/>
    </w:rPr>
  </w:style>
  <w:style w:type="paragraph" w:styleId="Listeafsnit">
    <w:name w:val="List Paragraph"/>
    <w:basedOn w:val="Normal"/>
    <w:uiPriority w:val="34"/>
    <w:qFormat/>
    <w:rsid w:val="00CD6ED8"/>
    <w:pPr>
      <w:ind w:left="1052" w:hanging="361"/>
    </w:pPr>
  </w:style>
  <w:style w:type="paragraph" w:styleId="Fodnotetekst">
    <w:name w:val="footnote text"/>
    <w:basedOn w:val="Normal"/>
    <w:link w:val="FodnotetekstTegn"/>
    <w:uiPriority w:val="99"/>
    <w:semiHidden/>
    <w:unhideWhenUsed/>
    <w:rsid w:val="00CD6ED8"/>
    <w:rPr>
      <w:sz w:val="20"/>
      <w:szCs w:val="20"/>
    </w:rPr>
  </w:style>
  <w:style w:type="character" w:customStyle="1" w:styleId="FodnotetekstTegn">
    <w:name w:val="Fodnotetekst Tegn"/>
    <w:basedOn w:val="Standardskrifttypeiafsnit"/>
    <w:link w:val="Fodnotetekst"/>
    <w:uiPriority w:val="99"/>
    <w:semiHidden/>
    <w:rsid w:val="00CD6ED8"/>
    <w:rPr>
      <w:rFonts w:ascii="Arial" w:eastAsia="Arial" w:hAnsi="Arial" w:cs="Arial"/>
      <w:sz w:val="20"/>
      <w:szCs w:val="20"/>
    </w:rPr>
  </w:style>
  <w:style w:type="character" w:styleId="Fodnotehenvisning">
    <w:name w:val="footnote reference"/>
    <w:basedOn w:val="Standardskrifttypeiafsnit"/>
    <w:uiPriority w:val="99"/>
    <w:semiHidden/>
    <w:unhideWhenUsed/>
    <w:rsid w:val="00CD6E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5754</Characters>
  <Application>Microsoft Office Word</Application>
  <DocSecurity>0</DocSecurity>
  <Lines>47</Lines>
  <Paragraphs>13</Paragraphs>
  <ScaleCrop>false</ScaleCrop>
  <Company>Middelfart Kommune</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Kryger</dc:creator>
  <cp:keywords/>
  <dc:description/>
  <cp:lastModifiedBy>Nina Kryger</cp:lastModifiedBy>
  <cp:revision>1</cp:revision>
  <dcterms:created xsi:type="dcterms:W3CDTF">2022-12-19T08:30:00Z</dcterms:created>
  <dcterms:modified xsi:type="dcterms:W3CDTF">2022-12-19T08:35:00Z</dcterms:modified>
</cp:coreProperties>
</file>