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8DD0" w14:textId="77777777" w:rsidR="00135482" w:rsidRPr="00B355B0" w:rsidRDefault="00135482" w:rsidP="00135482">
      <w:pPr>
        <w:pStyle w:val="Overskrift1"/>
        <w:ind w:left="0"/>
        <w:rPr>
          <w:color w:val="C45911" w:themeColor="accent2" w:themeShade="BF"/>
        </w:rPr>
      </w:pPr>
      <w:bookmarkStart w:id="0" w:name="_Toc104897248"/>
      <w:r w:rsidRPr="00B355B0">
        <w:rPr>
          <w:color w:val="C45911" w:themeColor="accent2" w:themeShade="BF"/>
        </w:rPr>
        <w:t>Bilag 9: Enkeltmandsprojekter og særforanstaltninger</w:t>
      </w:r>
      <w:bookmarkEnd w:id="0"/>
    </w:p>
    <w:p w14:paraId="5BBC5D6C" w14:textId="77777777" w:rsidR="00135482" w:rsidRPr="00A309E6" w:rsidRDefault="00135482" w:rsidP="00135482">
      <w:pPr>
        <w:pStyle w:val="Brdtekst"/>
        <w:spacing w:before="11"/>
        <w:rPr>
          <w:rFonts w:ascii="Cambria"/>
          <w:sz w:val="33"/>
        </w:rPr>
      </w:pPr>
    </w:p>
    <w:p w14:paraId="6458D18C" w14:textId="77777777" w:rsidR="00135482" w:rsidRPr="00A309E6" w:rsidRDefault="00135482" w:rsidP="00135482">
      <w:pPr>
        <w:pStyle w:val="Brdtekst"/>
      </w:pPr>
      <w:r w:rsidRPr="00A309E6">
        <w:t>Hovedreglen er, at takst</w:t>
      </w:r>
      <w:r>
        <w:t xml:space="preserve">modellerne er udformet, så de kan dækker alle borgere på tilbuddet. </w:t>
      </w:r>
      <w:r w:rsidRPr="00A309E6">
        <w:t xml:space="preserve">Der vil dog være tilfælde, hvor enkeltpersoner har så afvigende behov i forhold til </w:t>
      </w:r>
      <w:r>
        <w:t>modellerne</w:t>
      </w:r>
      <w:r w:rsidRPr="00A309E6">
        <w:t>, at det vil være relevant at operere med individuelle takster for dem i form af særforanstaltninger eller enkeltmandsprojekter.</w:t>
      </w:r>
    </w:p>
    <w:p w14:paraId="3E6BD57B" w14:textId="77777777" w:rsidR="00135482" w:rsidRPr="00A309E6" w:rsidRDefault="00135482" w:rsidP="00135482">
      <w:pPr>
        <w:pStyle w:val="Brdtekst"/>
        <w:spacing w:before="161"/>
      </w:pPr>
      <w:r w:rsidRPr="000E43BF">
        <w:rPr>
          <w:b/>
        </w:rPr>
        <w:t xml:space="preserve">En særforanstaltning </w:t>
      </w:r>
      <w:r w:rsidRPr="00A309E6">
        <w:t>er en foranstaltning, som etableres i en eksisterende plads, men til en særlig takst, der afviger fra den godkendte takst for pladsen. Ved ophør af en særforanstaltning kan pladsen benyttes af en ny borger til almindelig takst.</w:t>
      </w:r>
      <w:r>
        <w:t xml:space="preserve"> Særforanstaltning kan også forekomme med differentierede takster, når ydelsespakken indeholder mange timer i forhold til det almindelige på tilbuddet. Se vejledende grænser i bilag 8.</w:t>
      </w:r>
    </w:p>
    <w:p w14:paraId="49E99F8F" w14:textId="77777777" w:rsidR="00135482" w:rsidRDefault="00135482" w:rsidP="00135482">
      <w:pPr>
        <w:pStyle w:val="Brdtekst"/>
        <w:ind w:left="332"/>
      </w:pPr>
    </w:p>
    <w:p w14:paraId="229AFC8E" w14:textId="77777777" w:rsidR="00135482" w:rsidRPr="00A309E6" w:rsidRDefault="00135482" w:rsidP="00135482">
      <w:pPr>
        <w:pStyle w:val="Brdtekst"/>
      </w:pPr>
      <w:r w:rsidRPr="000E43BF">
        <w:rPr>
          <w:b/>
        </w:rPr>
        <w:t xml:space="preserve">Et enkeltmandsprojekt </w:t>
      </w:r>
      <w:r w:rsidRPr="00A309E6">
        <w:t>er en foranstaltning, hvor der oprettes en ny plads udover de godkendte pladser og til en særlig takst. Pladsen, der er knyttet til et enkeltmandsprojekter, bortfalder, når enkeltmandsprojektet ophører.</w:t>
      </w:r>
    </w:p>
    <w:p w14:paraId="2ED791A1" w14:textId="77777777" w:rsidR="00135482" w:rsidRPr="00A309E6" w:rsidRDefault="00135482" w:rsidP="00135482">
      <w:pPr>
        <w:pStyle w:val="Brdtekst"/>
        <w:spacing w:before="159"/>
        <w:jc w:val="both"/>
      </w:pPr>
      <w:r w:rsidRPr="00A309E6">
        <w:t xml:space="preserve">Etablering af særforanstaltninger og enkeltmandsprojekter skal ikke </w:t>
      </w:r>
      <w:r>
        <w:t>godkendes i Socialdirektørforum</w:t>
      </w:r>
      <w:r w:rsidRPr="00A309E6">
        <w:t>. Taksterne skal ikke indberettes i forbindelse med den almindelige takstberegningsprocedure.</w:t>
      </w:r>
    </w:p>
    <w:p w14:paraId="1EFA9040" w14:textId="77777777" w:rsidR="00135482" w:rsidRPr="00A309E6" w:rsidRDefault="00135482" w:rsidP="00135482">
      <w:pPr>
        <w:pStyle w:val="Brdtekst"/>
        <w:spacing w:before="159"/>
        <w:jc w:val="both"/>
      </w:pPr>
      <w:r w:rsidRPr="00A309E6">
        <w:t>Følgende betingelser skal være opfyldt, når særforanstaltninger og enkeltmandsprojekter etableres</w:t>
      </w:r>
      <w:r>
        <w:t>:</w:t>
      </w:r>
    </w:p>
    <w:p w14:paraId="0D7CBB06" w14:textId="77777777" w:rsidR="00135482" w:rsidRPr="00E41BE7" w:rsidRDefault="00135482" w:rsidP="00135482">
      <w:pPr>
        <w:pStyle w:val="Brdtekst"/>
        <w:numPr>
          <w:ilvl w:val="0"/>
          <w:numId w:val="2"/>
        </w:numPr>
        <w:spacing w:before="162"/>
        <w:ind w:left="464"/>
        <w:jc w:val="both"/>
      </w:pPr>
      <w:r w:rsidRPr="00A309E6">
        <w:t>Der skal være enighed om foranstaltningen og betalingen mellem handlekommune og udbyder, inden foranstaltningen sættes i</w:t>
      </w:r>
      <w:r>
        <w:t xml:space="preserve"> </w:t>
      </w:r>
      <w:r w:rsidRPr="00A309E6">
        <w:t>værk.</w:t>
      </w:r>
    </w:p>
    <w:p w14:paraId="051F8B82" w14:textId="77777777" w:rsidR="00135482" w:rsidRDefault="00135482" w:rsidP="00135482">
      <w:pPr>
        <w:pStyle w:val="Listeafsnit"/>
        <w:numPr>
          <w:ilvl w:val="0"/>
          <w:numId w:val="1"/>
        </w:numPr>
        <w:tabs>
          <w:tab w:val="left" w:pos="1040"/>
          <w:tab w:val="left" w:pos="1041"/>
        </w:tabs>
        <w:spacing w:before="1"/>
        <w:ind w:left="452"/>
        <w:rPr>
          <w:sz w:val="21"/>
          <w:szCs w:val="21"/>
        </w:rPr>
      </w:pPr>
      <w:r w:rsidRPr="50A141BE">
        <w:rPr>
          <w:sz w:val="21"/>
          <w:szCs w:val="21"/>
        </w:rPr>
        <w:t>Opsigelsesvarsel for særforanstaltning er som udgangspunkt løbende måned plus en måned, men andet kan aftales. Et andet opsigelsesvarsel for særforanstaltning skal altid aftales mellem udbyder og køber.</w:t>
      </w:r>
    </w:p>
    <w:p w14:paraId="2637A1CA" w14:textId="77777777" w:rsidR="00135482" w:rsidRDefault="00135482" w:rsidP="00135482">
      <w:pPr>
        <w:pStyle w:val="Listeafsnit"/>
        <w:numPr>
          <w:ilvl w:val="0"/>
          <w:numId w:val="1"/>
        </w:numPr>
        <w:tabs>
          <w:tab w:val="left" w:pos="1040"/>
          <w:tab w:val="left" w:pos="1041"/>
        </w:tabs>
        <w:spacing w:before="1"/>
        <w:ind w:left="452"/>
        <w:rPr>
          <w:sz w:val="21"/>
          <w:szCs w:val="21"/>
        </w:rPr>
      </w:pPr>
      <w:r w:rsidRPr="50A141BE">
        <w:rPr>
          <w:sz w:val="21"/>
          <w:szCs w:val="21"/>
        </w:rPr>
        <w:t>Opsigelsesvarsel for et en</w:t>
      </w:r>
      <w:r>
        <w:rPr>
          <w:sz w:val="21"/>
          <w:szCs w:val="21"/>
        </w:rPr>
        <w:t>kelt</w:t>
      </w:r>
      <w:r w:rsidRPr="50A141BE">
        <w:rPr>
          <w:sz w:val="21"/>
          <w:szCs w:val="21"/>
        </w:rPr>
        <w:t>mandsprojekt aftales mellem leverandør og handlekommune.</w:t>
      </w:r>
    </w:p>
    <w:p w14:paraId="3F4698A0" w14:textId="77777777" w:rsidR="00135482" w:rsidRDefault="00135482" w:rsidP="00135482">
      <w:pPr>
        <w:pStyle w:val="Listeafsnit"/>
        <w:numPr>
          <w:ilvl w:val="0"/>
          <w:numId w:val="1"/>
        </w:numPr>
        <w:tabs>
          <w:tab w:val="left" w:pos="1040"/>
          <w:tab w:val="left" w:pos="1041"/>
        </w:tabs>
        <w:spacing w:before="1"/>
        <w:ind w:left="452"/>
        <w:rPr>
          <w:sz w:val="21"/>
          <w:szCs w:val="21"/>
        </w:rPr>
      </w:pPr>
      <w:r w:rsidRPr="50A141BE">
        <w:rPr>
          <w:sz w:val="21"/>
          <w:szCs w:val="21"/>
        </w:rPr>
        <w:t>E</w:t>
      </w:r>
      <w:r>
        <w:rPr>
          <w:sz w:val="21"/>
          <w:szCs w:val="21"/>
        </w:rPr>
        <w:t>nkeltmand</w:t>
      </w:r>
      <w:r w:rsidRPr="50A141BE">
        <w:rPr>
          <w:sz w:val="21"/>
          <w:szCs w:val="21"/>
        </w:rPr>
        <w:t>sprojekter skal altid have et særskilt regnskab, hvor køber betaler alle udgifter, så over- eller underskud kan ikke indregnes i tilbuddet ordinære regnskab.</w:t>
      </w:r>
    </w:p>
    <w:p w14:paraId="125A0E97" w14:textId="77777777" w:rsidR="00135482" w:rsidRPr="00A309E6" w:rsidRDefault="00135482" w:rsidP="00135482">
      <w:pPr>
        <w:pStyle w:val="Listeafsnit"/>
        <w:numPr>
          <w:ilvl w:val="0"/>
          <w:numId w:val="1"/>
        </w:numPr>
        <w:tabs>
          <w:tab w:val="left" w:pos="1040"/>
          <w:tab w:val="left" w:pos="1041"/>
        </w:tabs>
        <w:spacing w:before="1"/>
        <w:ind w:left="452"/>
        <w:rPr>
          <w:sz w:val="21"/>
          <w:szCs w:val="21"/>
        </w:rPr>
      </w:pPr>
      <w:r w:rsidRPr="50A141BE">
        <w:rPr>
          <w:sz w:val="21"/>
          <w:szCs w:val="21"/>
        </w:rPr>
        <w:t>Vilkår for betaling af særforanstaltninger og enkeltmandsprojekter, herunder etableringsomkostninger skal præciseres i aftalerne mellem handlekommune og</w:t>
      </w:r>
      <w:r w:rsidRPr="50A141BE">
        <w:rPr>
          <w:spacing w:val="-5"/>
          <w:sz w:val="21"/>
          <w:szCs w:val="21"/>
        </w:rPr>
        <w:t xml:space="preserve"> </w:t>
      </w:r>
      <w:r w:rsidRPr="50A141BE">
        <w:rPr>
          <w:sz w:val="21"/>
          <w:szCs w:val="21"/>
        </w:rPr>
        <w:t xml:space="preserve">udbyder. </w:t>
      </w:r>
    </w:p>
    <w:p w14:paraId="23EE6FE1" w14:textId="77777777" w:rsidR="00135482" w:rsidRPr="00A309E6" w:rsidRDefault="00135482" w:rsidP="00135482">
      <w:pPr>
        <w:pStyle w:val="Listeafsnit"/>
        <w:numPr>
          <w:ilvl w:val="0"/>
          <w:numId w:val="1"/>
        </w:numPr>
        <w:tabs>
          <w:tab w:val="left" w:pos="1040"/>
          <w:tab w:val="left" w:pos="1041"/>
        </w:tabs>
        <w:spacing w:before="1" w:line="237" w:lineRule="auto"/>
        <w:ind w:left="452"/>
        <w:rPr>
          <w:sz w:val="21"/>
          <w:szCs w:val="21"/>
        </w:rPr>
      </w:pPr>
      <w:r w:rsidRPr="50A141BE">
        <w:rPr>
          <w:sz w:val="21"/>
          <w:szCs w:val="21"/>
        </w:rPr>
        <w:t>Takstberegningen skal under alle omstændigheder tage udgangspunkt i princippet om omkostningsbaserede</w:t>
      </w:r>
      <w:r w:rsidRPr="50A141BE">
        <w:rPr>
          <w:spacing w:val="-2"/>
          <w:sz w:val="21"/>
          <w:szCs w:val="21"/>
        </w:rPr>
        <w:t xml:space="preserve"> </w:t>
      </w:r>
      <w:r w:rsidRPr="50A141BE">
        <w:rPr>
          <w:sz w:val="21"/>
          <w:szCs w:val="21"/>
        </w:rPr>
        <w:t>takster.</w:t>
      </w:r>
    </w:p>
    <w:p w14:paraId="0D46C6FC" w14:textId="77777777" w:rsidR="00135482" w:rsidRDefault="00135482" w:rsidP="00135482">
      <w:pPr>
        <w:pStyle w:val="Brdtekst"/>
        <w:spacing w:before="1"/>
      </w:pPr>
    </w:p>
    <w:p w14:paraId="6F4C6685" w14:textId="77777777" w:rsidR="00135482" w:rsidRPr="00A309E6" w:rsidRDefault="00135482" w:rsidP="00135482">
      <w:pPr>
        <w:pStyle w:val="Brdtekst"/>
        <w:spacing w:before="1"/>
      </w:pPr>
      <w:r w:rsidRPr="00A309E6">
        <w:t xml:space="preserve">Særforanstaltninger og enkeltmandsprojekter skal opfattes som foranstaltninger, der er knyttet til enkeltpersoner. </w:t>
      </w:r>
    </w:p>
    <w:p w14:paraId="561AA53F" w14:textId="77777777" w:rsidR="000D5A9B" w:rsidRPr="000D5A9B" w:rsidRDefault="000D5A9B">
      <w:pPr>
        <w:rPr>
          <w:rFonts w:ascii="Verdana" w:hAnsi="Verdana"/>
          <w:sz w:val="20"/>
          <w:szCs w:val="20"/>
        </w:rPr>
      </w:pPr>
    </w:p>
    <w:sectPr w:rsidR="000D5A9B" w:rsidRPr="000D5A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F6F"/>
    <w:multiLevelType w:val="hybridMultilevel"/>
    <w:tmpl w:val="93EEB5A2"/>
    <w:lvl w:ilvl="0" w:tplc="918AD8EC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54D01E4A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7B46AD24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BB1E17FA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221C1872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17B271F8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BF166534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646F20E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B1F6B0CE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" w15:restartNumberingAfterBreak="0">
    <w:nsid w:val="75F47268"/>
    <w:multiLevelType w:val="hybridMultilevel"/>
    <w:tmpl w:val="C2C80408"/>
    <w:lvl w:ilvl="0" w:tplc="0406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82"/>
    <w:rsid w:val="000D5A9B"/>
    <w:rsid w:val="001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966A"/>
  <w15:chartTrackingRefBased/>
  <w15:docId w15:val="{B095A216-EA0F-448A-9744-3A0217D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35482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Cambria" w:eastAsia="Cambria" w:hAnsi="Cambria" w:cs="Cambri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5482"/>
    <w:rPr>
      <w:rFonts w:ascii="Cambria" w:eastAsia="Cambria" w:hAnsi="Cambria" w:cs="Cambria"/>
      <w:sz w:val="36"/>
      <w:szCs w:val="36"/>
    </w:rPr>
  </w:style>
  <w:style w:type="paragraph" w:styleId="Brdtekst">
    <w:name w:val="Body Text"/>
    <w:basedOn w:val="Normal"/>
    <w:link w:val="BrdtekstTegn"/>
    <w:uiPriority w:val="1"/>
    <w:qFormat/>
    <w:rsid w:val="00135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135482"/>
    <w:rPr>
      <w:rFonts w:ascii="Arial" w:eastAsia="Arial" w:hAnsi="Arial" w:cs="Arial"/>
      <w:sz w:val="21"/>
      <w:szCs w:val="21"/>
    </w:rPr>
  </w:style>
  <w:style w:type="paragraph" w:styleId="Listeafsnit">
    <w:name w:val="List Paragraph"/>
    <w:basedOn w:val="Normal"/>
    <w:uiPriority w:val="34"/>
    <w:qFormat/>
    <w:rsid w:val="00135482"/>
    <w:pPr>
      <w:widowControl w:val="0"/>
      <w:autoSpaceDE w:val="0"/>
      <w:autoSpaceDN w:val="0"/>
      <w:spacing w:after="0" w:line="240" w:lineRule="auto"/>
      <w:ind w:left="1052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1974</Characters>
  <Application>Microsoft Office Word</Application>
  <DocSecurity>0</DocSecurity>
  <Lines>16</Lines>
  <Paragraphs>4</Paragraphs>
  <ScaleCrop>false</ScaleCrop>
  <Company>Middelfart Kommune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1</cp:revision>
  <dcterms:created xsi:type="dcterms:W3CDTF">2022-12-19T08:35:00Z</dcterms:created>
  <dcterms:modified xsi:type="dcterms:W3CDTF">2022-12-19T08:36:00Z</dcterms:modified>
</cp:coreProperties>
</file>